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autoSpaceDE/>
        <w:autoSpaceDN/>
        <w:spacing w:before="100" w:beforeAutospacing="1" w:after="100" w:afterAutospacing="1" w:line="560" w:lineRule="exact"/>
        <w:jc w:val="center"/>
        <w:outlineLvl w:val="0"/>
        <w:rPr>
          <w:rFonts w:ascii="方正小标宋简体" w:hAnsi="方正小标宋简体" w:eastAsia="方正小标宋简体" w:cs="方正小标宋简体"/>
          <w:kern w:val="2"/>
          <w:sz w:val="44"/>
          <w:szCs w:val="44"/>
          <w:lang w:val="en-US" w:bidi="ar-SA"/>
        </w:rPr>
      </w:pPr>
      <w:bookmarkStart w:id="1" w:name="_GoBack"/>
      <w:bookmarkEnd w:id="1"/>
      <w:bookmarkStart w:id="0" w:name="OLE_LINK1"/>
      <w:r>
        <w:rPr>
          <w:rFonts w:hint="eastAsia" w:ascii="方正小标宋简体" w:hAnsi="方正小标宋简体" w:eastAsia="方正小标宋简体" w:cs="方正小标宋简体"/>
          <w:kern w:val="2"/>
          <w:sz w:val="44"/>
          <w:szCs w:val="44"/>
          <w:lang w:val="en-US" w:bidi="ar-SA"/>
        </w:rPr>
        <w:t xml:space="preserve"> 西咸新区公共资源交易活动代理服务平台</w:t>
      </w:r>
    </w:p>
    <w:p>
      <w:pPr>
        <w:suppressLineNumbers/>
        <w:autoSpaceDE/>
        <w:autoSpaceDN/>
        <w:spacing w:before="100" w:beforeAutospacing="1" w:after="100" w:afterAutospacing="1" w:line="560" w:lineRule="exact"/>
        <w:jc w:val="center"/>
        <w:outlineLvl w:val="0"/>
        <w:rPr>
          <w:rFonts w:ascii="方正小标宋简体" w:hAnsi="方正小标宋简体" w:eastAsia="方正小标宋简体" w:cs="方正小标宋简体"/>
          <w:kern w:val="2"/>
          <w:sz w:val="44"/>
          <w:szCs w:val="44"/>
          <w:lang w:val="en-US" w:bidi="ar-SA"/>
        </w:rPr>
      </w:pPr>
      <w:r>
        <w:rPr>
          <w:rFonts w:hint="eastAsia" w:ascii="方正小标宋简体" w:hAnsi="方正小标宋简体" w:eastAsia="方正小标宋简体" w:cs="方正小标宋简体"/>
          <w:kern w:val="2"/>
          <w:sz w:val="44"/>
          <w:szCs w:val="44"/>
          <w:lang w:val="en-US" w:bidi="ar-SA"/>
        </w:rPr>
        <w:t>运行办法（试行）</w:t>
      </w:r>
    </w:p>
    <w:p>
      <w:pPr>
        <w:suppressLineNumbers/>
        <w:autoSpaceDE/>
        <w:autoSpaceDN/>
        <w:spacing w:beforeLines="100" w:afterLines="100" w:line="560" w:lineRule="exact"/>
        <w:jc w:val="center"/>
        <w:outlineLvl w:val="0"/>
        <w:rPr>
          <w:rFonts w:ascii="黑体" w:hAnsi="黑体" w:eastAsia="黑体" w:cs="仿宋_GB2312"/>
          <w:bCs/>
          <w:snapToGrid w:val="0"/>
          <w:spacing w:val="-6"/>
          <w:sz w:val="32"/>
          <w:szCs w:val="32"/>
          <w:lang w:val="en-US" w:bidi="ar-SA"/>
        </w:rPr>
      </w:pPr>
      <w:r>
        <w:rPr>
          <w:rFonts w:hint="eastAsia" w:ascii="黑体" w:hAnsi="黑体" w:eastAsia="黑体" w:cs="仿宋_GB2312"/>
          <w:bCs/>
          <w:snapToGrid w:val="0"/>
          <w:spacing w:val="-6"/>
          <w:sz w:val="32"/>
          <w:szCs w:val="32"/>
          <w:lang w:val="en-US" w:bidi="ar-SA"/>
        </w:rPr>
        <w:t>第一章  总 则</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第一条</w:t>
      </w:r>
      <w:r>
        <w:rPr>
          <w:rFonts w:hint="eastAsia" w:ascii="仿宋_GB2312" w:hAnsi="仿宋_GB2312" w:eastAsia="仿宋_GB2312" w:cs="仿宋_GB2312"/>
          <w:snapToGrid w:val="0"/>
          <w:spacing w:val="-6"/>
          <w:sz w:val="32"/>
          <w:szCs w:val="32"/>
          <w:lang w:val="en-US" w:bidi="ar-SA"/>
        </w:rPr>
        <w:t xml:space="preserve"> 为进一步加强西咸新区公共资源交易类代理服务市场管理，规范代理机构服务行为，助力打造统一开放、竞争有序、阳光透明、便捷高效的公共资源交易代理服务市场，根据有关法律法规，结合新区实际，制定本办法。</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第二条</w:t>
      </w:r>
      <w:r>
        <w:rPr>
          <w:rFonts w:hint="eastAsia" w:ascii="仿宋_GB2312" w:hAnsi="仿宋_GB2312" w:eastAsia="仿宋_GB2312" w:cs="仿宋_GB2312"/>
          <w:snapToGrid w:val="0"/>
          <w:spacing w:val="-6"/>
          <w:sz w:val="32"/>
          <w:szCs w:val="32"/>
          <w:lang w:val="en-US" w:bidi="ar-SA"/>
        </w:rPr>
        <w:t xml:space="preserve"> 西咸新区内涉及财政性资金、国有资金以及国有权益等与公共资源交易活动相关的采购（招标）代理、拍卖代理等服务活动，适用本办法。其他与公共资源交易有关的公共服务类代理服务，经有关部门同意进入平台管理的，参照本办法执行。</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第三条</w:t>
      </w:r>
      <w:r>
        <w:rPr>
          <w:rFonts w:hint="eastAsia" w:ascii="仿宋_GB2312" w:hAnsi="仿宋_GB2312" w:eastAsia="仿宋_GB2312" w:cs="仿宋_GB2312"/>
          <w:snapToGrid w:val="0"/>
          <w:spacing w:val="-6"/>
          <w:sz w:val="32"/>
          <w:szCs w:val="32"/>
          <w:lang w:val="en-US" w:bidi="ar-SA"/>
        </w:rPr>
        <w:t xml:space="preserve"> 本办法所称公共资源交易活动代理服务平台（以下简称“服务平台”）是指经新区批准设立的，为新区各委托单位开展公共资源交易活动时在代理服务机构信息查询、选取、信用等方面提供参考，以及为行业监管部门在诚信管理、查处违法违规行为、信用惩戒等方面提供支持的综合性管理服务平台。</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服务平台遵循“规范、阳光、高效”原则，面向全国具有法定招标代理服务资格和拍卖代理资格的代理机构常态开放。</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公共资源交易代理服务机构（以下简称“代理机构”）是指依法登记设立，通过专业知识和技术，为委托单位开展公共资源交易活动提供有偿采购（招标）代理和拍卖代理服务的独立法人机构。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委托单位是指作为招标人、采购人、出让人或转让人，委托代理机构开展各类公共资源交易活动的新区和新城各部门、下属管理服务机构、社会组织和各级管委会下属的国有企业等。</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本办法所称的公共资源交易代理服务是指下列服务：</w:t>
      </w:r>
    </w:p>
    <w:p>
      <w:pPr>
        <w:numPr>
          <w:ilvl w:val="0"/>
          <w:numId w:val="1"/>
        </w:num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工程建设、政府采购项目等采购（招标）代理服务；</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（二）国有（集体）资产的产权、经营权、特许经营权、国有土地使用权等权益类出让或转让服务；</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（三）其他按照要求开展的服务。</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snapToGrid w:val="0"/>
          <w:spacing w:val="-6"/>
          <w:sz w:val="32"/>
          <w:szCs w:val="32"/>
          <w:lang w:val="en-US" w:bidi="ar-SA"/>
        </w:rPr>
        <w:t>第四条</w:t>
      </w:r>
      <w:r>
        <w:rPr>
          <w:rFonts w:hint="eastAsia" w:ascii="仿宋_GB2312" w:hAnsi="仿宋_GB2312" w:eastAsia="仿宋_GB2312" w:cs="仿宋_GB2312"/>
          <w:snapToGrid w:val="0"/>
          <w:spacing w:val="-6"/>
          <w:sz w:val="32"/>
          <w:szCs w:val="32"/>
          <w:lang w:val="en-US" w:bidi="ar-SA"/>
        </w:rPr>
        <w:t xml:space="preserve"> 委托单位选取代理机构，应在服务平台选取。使用国有资金、财政资金购买代理服务，且达到公共资源交易平台入场条件的，执行公共资源交易相关政策。</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ascii="仿宋_GB2312" w:hAnsi="仿宋_GB2312" w:eastAsia="仿宋_GB2312" w:cs="仿宋_GB2312"/>
          <w:snapToGrid w:val="0"/>
          <w:spacing w:val="-6"/>
          <w:sz w:val="32"/>
          <w:szCs w:val="32"/>
          <w:lang w:val="en-US" w:bidi="ar-SA"/>
        </w:rPr>
        <w:t>新区各部门</w:t>
      </w:r>
      <w:r>
        <w:rPr>
          <w:rFonts w:hint="eastAsia" w:ascii="仿宋_GB2312" w:hAnsi="仿宋_GB2312" w:eastAsia="仿宋_GB2312" w:cs="仿宋_GB2312"/>
          <w:snapToGrid w:val="0"/>
          <w:spacing w:val="-6"/>
          <w:sz w:val="32"/>
          <w:szCs w:val="32"/>
          <w:lang w:val="en-US" w:bidi="ar-SA"/>
        </w:rPr>
        <w:t>、各</w:t>
      </w:r>
      <w:r>
        <w:rPr>
          <w:rFonts w:ascii="仿宋_GB2312" w:hAnsi="仿宋_GB2312" w:eastAsia="仿宋_GB2312" w:cs="仿宋_GB2312"/>
          <w:snapToGrid w:val="0"/>
          <w:spacing w:val="-6"/>
          <w:sz w:val="32"/>
          <w:szCs w:val="32"/>
          <w:lang w:val="en-US" w:bidi="ar-SA"/>
        </w:rPr>
        <w:t>新城</w:t>
      </w:r>
      <w:r>
        <w:rPr>
          <w:rFonts w:hint="eastAsia" w:ascii="仿宋_GB2312" w:hAnsi="仿宋_GB2312" w:eastAsia="仿宋_GB2312" w:cs="仿宋_GB2312"/>
          <w:snapToGrid w:val="0"/>
          <w:spacing w:val="-6"/>
          <w:sz w:val="32"/>
          <w:szCs w:val="32"/>
          <w:lang w:val="en-US" w:bidi="ar-SA"/>
        </w:rPr>
        <w:t>、各级管委会所属企业</w:t>
      </w:r>
      <w:r>
        <w:rPr>
          <w:rFonts w:ascii="仿宋_GB2312" w:hAnsi="仿宋_GB2312" w:eastAsia="仿宋_GB2312" w:cs="仿宋_GB2312"/>
          <w:snapToGrid w:val="0"/>
          <w:spacing w:val="-6"/>
          <w:sz w:val="32"/>
          <w:szCs w:val="32"/>
          <w:lang w:val="en-US" w:bidi="ar-SA"/>
        </w:rPr>
        <w:t>等不</w:t>
      </w:r>
      <w:r>
        <w:rPr>
          <w:rFonts w:hint="eastAsia" w:ascii="仿宋_GB2312" w:hAnsi="仿宋_GB2312" w:eastAsia="仿宋_GB2312" w:cs="仿宋_GB2312"/>
          <w:snapToGrid w:val="0"/>
          <w:spacing w:val="-6"/>
          <w:sz w:val="32"/>
          <w:szCs w:val="32"/>
          <w:lang w:val="en-US" w:bidi="ar-SA"/>
        </w:rPr>
        <w:t>应</w:t>
      </w:r>
      <w:r>
        <w:rPr>
          <w:rFonts w:ascii="仿宋_GB2312" w:hAnsi="仿宋_GB2312" w:eastAsia="仿宋_GB2312" w:cs="仿宋_GB2312"/>
          <w:snapToGrid w:val="0"/>
          <w:spacing w:val="-6"/>
          <w:sz w:val="32"/>
          <w:szCs w:val="32"/>
          <w:lang w:val="en-US" w:bidi="ar-SA"/>
        </w:rPr>
        <w:t>再组建公共资源交易</w:t>
      </w:r>
      <w:r>
        <w:rPr>
          <w:rFonts w:hint="eastAsia" w:ascii="仿宋_GB2312" w:hAnsi="仿宋_GB2312" w:eastAsia="仿宋_GB2312" w:cs="仿宋_GB2312"/>
          <w:snapToGrid w:val="0"/>
          <w:spacing w:val="-6"/>
          <w:sz w:val="32"/>
          <w:szCs w:val="32"/>
          <w:lang w:val="en-US" w:bidi="ar-SA"/>
        </w:rPr>
        <w:t>代理</w:t>
      </w:r>
      <w:r>
        <w:rPr>
          <w:rFonts w:ascii="仿宋_GB2312" w:hAnsi="仿宋_GB2312" w:eastAsia="仿宋_GB2312" w:cs="仿宋_GB2312"/>
          <w:snapToGrid w:val="0"/>
          <w:spacing w:val="-6"/>
          <w:sz w:val="32"/>
          <w:szCs w:val="32"/>
          <w:lang w:val="en-US" w:bidi="ar-SA"/>
        </w:rPr>
        <w:t>供应商库</w:t>
      </w:r>
      <w:r>
        <w:rPr>
          <w:rFonts w:hint="eastAsia" w:ascii="仿宋_GB2312" w:hAnsi="仿宋_GB2312" w:eastAsia="仿宋_GB2312" w:cs="仿宋_GB2312"/>
          <w:snapToGrid w:val="0"/>
          <w:spacing w:val="-6"/>
          <w:sz w:val="32"/>
          <w:szCs w:val="32"/>
          <w:lang w:val="en-US" w:bidi="ar-SA"/>
        </w:rPr>
        <w:t>，</w:t>
      </w:r>
      <w:r>
        <w:rPr>
          <w:rFonts w:ascii="仿宋_GB2312" w:hAnsi="仿宋_GB2312" w:eastAsia="仿宋_GB2312" w:cs="仿宋_GB2312"/>
          <w:snapToGrid w:val="0"/>
          <w:spacing w:val="-6"/>
          <w:sz w:val="32"/>
          <w:szCs w:val="32"/>
          <w:lang w:val="en-US" w:bidi="ar-SA"/>
        </w:rPr>
        <w:t>已组建的应逐步取消</w:t>
      </w:r>
      <w:r>
        <w:rPr>
          <w:rFonts w:hint="eastAsia" w:ascii="仿宋_GB2312" w:hAnsi="仿宋_GB2312" w:eastAsia="仿宋_GB2312" w:cs="仿宋_GB2312"/>
          <w:snapToGrid w:val="0"/>
          <w:spacing w:val="-6"/>
          <w:sz w:val="32"/>
          <w:szCs w:val="32"/>
          <w:lang w:val="en-US" w:bidi="ar-SA"/>
        </w:rPr>
        <w:t xml:space="preserve">（国家法律法规规定需保留的除外，需向新区公共资源交易管理部门提供相应文件说明）。 </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第五条</w:t>
      </w:r>
      <w:r>
        <w:rPr>
          <w:rFonts w:hint="eastAsia" w:ascii="仿宋_GB2312" w:hAnsi="仿宋_GB2312" w:eastAsia="仿宋_GB2312" w:cs="仿宋_GB2312"/>
          <w:snapToGrid w:val="0"/>
          <w:spacing w:val="-6"/>
          <w:sz w:val="32"/>
          <w:szCs w:val="32"/>
          <w:lang w:val="en-US" w:bidi="ar-SA"/>
        </w:rPr>
        <w:t xml:space="preserve"> 新区公共资源交易管理部门负责牵头组织各单位研究解决服务平台管理中的重大问题；对服务平台建立、使用情况实施监督；统筹协调服务平台建设管理工作，制定相关制度措施，出台规范性文件，督促委托单位、行业监管部门和西咸新区公共资源交易中心（以下简称“交易中心”）履行服务评价职责，处理有关交易中心服务、机构选取、服务评分和评价的投诉。</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交易中心具体负责服务平台的建设、日常管理工作；负责办理代理机构入驻登记，向公共资源交易管理部门及行业监管部门及时反馈代理机构失信及违法违规行为，及时履行诚信评价管理职责，与新区公共资源交易电子平台、中省市信用评价数据对接。</w:t>
      </w:r>
    </w:p>
    <w:p>
      <w:pPr>
        <w:suppressLineNumbers/>
        <w:autoSpaceDE/>
        <w:autoSpaceDN/>
        <w:spacing w:line="560" w:lineRule="exact"/>
        <w:ind w:firstLine="770" w:firstLineChars="25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新区各级行业监管部门按照《中华人民共和国招标投标法》、《政府采购代理机构管理暂行办法》（财库〔</w:t>
      </w:r>
      <w:r>
        <w:rPr>
          <w:rFonts w:ascii="仿宋_GB2312" w:hAnsi="仿宋_GB2312" w:eastAsia="仿宋_GB2312" w:cs="仿宋_GB2312"/>
          <w:snapToGrid w:val="0"/>
          <w:spacing w:val="-6"/>
          <w:sz w:val="32"/>
          <w:szCs w:val="32"/>
          <w:lang w:val="en-US" w:bidi="ar-SA"/>
        </w:rPr>
        <w:t>2018〕2</w:t>
      </w:r>
      <w:r>
        <w:rPr>
          <w:rFonts w:hint="eastAsia" w:ascii="仿宋_GB2312" w:hAnsi="仿宋_GB2312" w:eastAsia="仿宋_GB2312" w:cs="仿宋_GB2312"/>
          <w:snapToGrid w:val="0"/>
          <w:spacing w:val="-6"/>
          <w:sz w:val="32"/>
          <w:szCs w:val="32"/>
          <w:lang w:val="en-US" w:bidi="ar-SA"/>
        </w:rPr>
        <w:t>号）、</w:t>
      </w:r>
      <w:r>
        <w:rPr>
          <w:rFonts w:hint="eastAsia" w:ascii="仿宋_GB2312" w:hAnsi="仿宋_GB2312" w:eastAsia="仿宋_GB2312" w:cs="仿宋_GB2312"/>
          <w:snapToGrid w:val="0"/>
          <w:spacing w:val="-6"/>
          <w:sz w:val="32"/>
          <w:szCs w:val="32"/>
          <w:lang w:val="en-US"/>
        </w:rPr>
        <w:t>《住房城乡建设部办公厅关于取消工程建设项目招标代理机构资格认定加强事中事后监管的通知》（建办市〔2017〕77号）、</w:t>
      </w:r>
      <w:r>
        <w:rPr>
          <w:rFonts w:hint="eastAsia" w:ascii="仿宋_GB2312" w:hAnsi="仿宋_GB2312" w:eastAsia="仿宋_GB2312" w:cs="仿宋_GB2312"/>
          <w:snapToGrid w:val="0"/>
          <w:spacing w:val="-6"/>
          <w:sz w:val="32"/>
          <w:szCs w:val="32"/>
          <w:lang w:val="en-US" w:bidi="ar-SA"/>
        </w:rPr>
        <w:t>《国务院办公厅印发国务院有关部门实施招标投标活动行业监督的职责分工的意见的通知》</w:t>
      </w:r>
      <w:r>
        <w:rPr>
          <w:rFonts w:ascii="仿宋_GB2312" w:hAnsi="仿宋_GB2312" w:eastAsia="仿宋_GB2312" w:cs="仿宋_GB2312"/>
          <w:snapToGrid w:val="0"/>
          <w:spacing w:val="-6"/>
          <w:sz w:val="32"/>
          <w:szCs w:val="32"/>
          <w:lang w:val="en-US" w:bidi="ar-SA"/>
        </w:rPr>
        <w:t>(</w:t>
      </w:r>
      <w:r>
        <w:rPr>
          <w:rFonts w:hint="eastAsia" w:ascii="仿宋_GB2312" w:hAnsi="仿宋_GB2312" w:eastAsia="仿宋_GB2312" w:cs="仿宋_GB2312"/>
          <w:snapToGrid w:val="0"/>
          <w:spacing w:val="-6"/>
          <w:sz w:val="32"/>
          <w:szCs w:val="32"/>
          <w:lang w:val="en-US" w:bidi="ar-SA"/>
        </w:rPr>
        <w:t>国办发〔</w:t>
      </w:r>
      <w:r>
        <w:rPr>
          <w:rFonts w:ascii="仿宋_GB2312" w:hAnsi="仿宋_GB2312" w:eastAsia="仿宋_GB2312" w:cs="仿宋_GB2312"/>
          <w:snapToGrid w:val="0"/>
          <w:spacing w:val="-6"/>
          <w:sz w:val="32"/>
          <w:szCs w:val="32"/>
          <w:lang w:val="en-US" w:bidi="ar-SA"/>
        </w:rPr>
        <w:t>2000〕34</w:t>
      </w:r>
      <w:r>
        <w:rPr>
          <w:rFonts w:hint="eastAsia" w:ascii="仿宋_GB2312" w:hAnsi="仿宋_GB2312" w:eastAsia="仿宋_GB2312" w:cs="仿宋_GB2312"/>
          <w:snapToGrid w:val="0"/>
          <w:spacing w:val="-6"/>
          <w:sz w:val="32"/>
          <w:szCs w:val="32"/>
          <w:lang w:val="en-US" w:bidi="ar-SA"/>
        </w:rPr>
        <w:t>号</w:t>
      </w:r>
      <w:r>
        <w:rPr>
          <w:rFonts w:ascii="仿宋_GB2312" w:hAnsi="仿宋_GB2312" w:eastAsia="仿宋_GB2312" w:cs="仿宋_GB2312"/>
          <w:snapToGrid w:val="0"/>
          <w:spacing w:val="-6"/>
          <w:sz w:val="32"/>
          <w:szCs w:val="32"/>
          <w:lang w:val="en-US" w:bidi="ar-SA"/>
        </w:rPr>
        <w:t>)及新</w:t>
      </w:r>
      <w:r>
        <w:rPr>
          <w:rFonts w:hint="eastAsia" w:ascii="仿宋_GB2312" w:hAnsi="仿宋_GB2312" w:eastAsia="仿宋_GB2312" w:cs="仿宋_GB2312"/>
          <w:snapToGrid w:val="0"/>
          <w:spacing w:val="-6"/>
          <w:sz w:val="32"/>
          <w:szCs w:val="32"/>
          <w:lang w:val="en-US" w:bidi="ar-SA"/>
        </w:rPr>
        <w:t>区各级管委会确定的职责分工履行行业监管职责，对代理机构的执业行为依法实施监督管理，查处违法违规行为，履行服务评价职责。国企采购活动中涉及代理服务监督工作的，按照企业内部监督规定执行。</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新区纪委监察部门负责对交易过程中涉及的新区公共资源交易管理部门、行业监管部门、交易中心、委托单位</w:t>
      </w:r>
      <w:r>
        <w:rPr>
          <w:rFonts w:ascii="仿宋_GB2312" w:hAnsi="仿宋_GB2312" w:eastAsia="仿宋_GB2312" w:cs="仿宋_GB2312"/>
          <w:snapToGrid w:val="0"/>
          <w:spacing w:val="-6"/>
          <w:sz w:val="32"/>
          <w:szCs w:val="32"/>
          <w:lang w:val="en-US"/>
        </w:rPr>
        <w:t>履职情况进行监督</w:t>
      </w:r>
      <w:r>
        <w:rPr>
          <w:rFonts w:hint="eastAsia" w:ascii="仿宋_GB2312" w:hAnsi="仿宋_GB2312" w:eastAsia="仿宋_GB2312" w:cs="仿宋_GB2312"/>
          <w:snapToGrid w:val="0"/>
          <w:spacing w:val="-6"/>
          <w:sz w:val="32"/>
          <w:szCs w:val="32"/>
          <w:lang w:val="en-US"/>
        </w:rPr>
        <w:t>，</w:t>
      </w:r>
      <w:r>
        <w:rPr>
          <w:rFonts w:ascii="仿宋_GB2312" w:hAnsi="仿宋_GB2312" w:eastAsia="仿宋_GB2312" w:cs="仿宋_GB2312"/>
          <w:snapToGrid w:val="0"/>
          <w:spacing w:val="-6"/>
          <w:sz w:val="32"/>
          <w:szCs w:val="32"/>
          <w:lang w:val="en-US"/>
        </w:rPr>
        <w:t>对涉及徇私舞弊、滥用职权或者玩忽职守等行为依照</w:t>
      </w:r>
      <w:r>
        <w:rPr>
          <w:rFonts w:hint="eastAsia" w:ascii="仿宋_GB2312" w:hAnsi="仿宋_GB2312" w:eastAsia="仿宋_GB2312" w:cs="仿宋_GB2312"/>
          <w:snapToGrid w:val="0"/>
          <w:spacing w:val="-6"/>
          <w:sz w:val="32"/>
          <w:szCs w:val="32"/>
          <w:lang w:val="en-US" w:bidi="ar-SA"/>
        </w:rPr>
        <w:t>相关法律法规和《西咸新区公共资源交易活动问责办法（试行）》</w:t>
      </w:r>
      <w:r>
        <w:rPr>
          <w:rFonts w:hint="eastAsia" w:ascii="仿宋_GB2312" w:hAnsi="仿宋_GB2312" w:eastAsia="仿宋_GB2312" w:cs="仿宋_GB2312"/>
          <w:snapToGrid w:val="0"/>
          <w:spacing w:val="-6"/>
          <w:sz w:val="32"/>
          <w:szCs w:val="32"/>
          <w:lang w:val="en-US"/>
        </w:rPr>
        <w:t>处理</w:t>
      </w:r>
      <w:r>
        <w:rPr>
          <w:rFonts w:ascii="仿宋_GB2312" w:hAnsi="仿宋_GB2312" w:eastAsia="仿宋_GB2312" w:cs="仿宋_GB2312"/>
          <w:snapToGrid w:val="0"/>
          <w:spacing w:val="-6"/>
          <w:sz w:val="32"/>
          <w:szCs w:val="32"/>
          <w:lang w:val="en-US"/>
        </w:rPr>
        <w:t>。</w:t>
      </w:r>
    </w:p>
    <w:p>
      <w:pPr>
        <w:suppressLineNumbers/>
        <w:autoSpaceDE/>
        <w:autoSpaceDN/>
        <w:spacing w:beforeLines="100" w:afterLines="100" w:line="560" w:lineRule="exact"/>
        <w:jc w:val="center"/>
        <w:outlineLvl w:val="0"/>
        <w:rPr>
          <w:rFonts w:ascii="黑体" w:hAnsi="黑体" w:eastAsia="黑体" w:cs="仿宋_GB2312"/>
          <w:bCs/>
          <w:snapToGrid w:val="0"/>
          <w:spacing w:val="-6"/>
          <w:sz w:val="32"/>
          <w:szCs w:val="32"/>
          <w:lang w:val="en-US" w:bidi="ar-SA"/>
        </w:rPr>
      </w:pPr>
      <w:r>
        <w:rPr>
          <w:rFonts w:hint="eastAsia" w:ascii="黑体" w:hAnsi="黑体" w:eastAsia="黑体" w:cs="仿宋_GB2312"/>
          <w:bCs/>
          <w:snapToGrid w:val="0"/>
          <w:spacing w:val="-6"/>
          <w:sz w:val="32"/>
          <w:szCs w:val="32"/>
          <w:lang w:val="en-US" w:bidi="ar-SA"/>
        </w:rPr>
        <w:t>第二章  入驻登记</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第六条 </w:t>
      </w:r>
      <w:r>
        <w:rPr>
          <w:rFonts w:hint="eastAsia" w:ascii="仿宋_GB2312" w:hAnsi="仿宋_GB2312" w:eastAsia="仿宋_GB2312" w:cs="仿宋_GB2312"/>
          <w:snapToGrid w:val="0"/>
          <w:spacing w:val="-6"/>
          <w:sz w:val="32"/>
          <w:szCs w:val="32"/>
          <w:lang w:val="en-US" w:bidi="ar-SA"/>
        </w:rPr>
        <w:t>代理机构参与新区公共资源交易活动的，应申请入驻服务平台，接受诚信管理。</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第七条</w:t>
      </w:r>
      <w:r>
        <w:rPr>
          <w:rFonts w:hint="eastAsia" w:ascii="仿宋_GB2312" w:hAnsi="仿宋_GB2312" w:eastAsia="仿宋_GB2312" w:cs="仿宋_GB2312"/>
          <w:snapToGrid w:val="0"/>
          <w:spacing w:val="-6"/>
          <w:sz w:val="32"/>
          <w:szCs w:val="32"/>
          <w:lang w:val="en-US" w:bidi="ar-SA"/>
        </w:rPr>
        <w:t xml:space="preserve"> 入驻服务平台的代理机构在资格许可范围内开展从业活动。</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第八条</w:t>
      </w:r>
      <w:r>
        <w:rPr>
          <w:rFonts w:hint="eastAsia" w:ascii="仿宋_GB2312" w:hAnsi="仿宋_GB2312" w:eastAsia="仿宋_GB2312" w:cs="仿宋_GB2312"/>
          <w:snapToGrid w:val="0"/>
          <w:spacing w:val="-6"/>
          <w:sz w:val="32"/>
          <w:szCs w:val="32"/>
          <w:lang w:val="en-US" w:bidi="ar-SA"/>
        </w:rPr>
        <w:t xml:space="preserve"> 入驻服务平台的代理机构应当符合以下条件:</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 xml:space="preserve">（一）依法注册登记，具有独立法人资格，并取得相应执业资质或资格； </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（二）近2年内无违法、违规等不良信用记录；</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（三）自觉遵守国家法律法规、机构管理和信用考评相关规定；</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（四）法律、法规、规章规定的其他条件。</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第九条</w:t>
      </w:r>
      <w:r>
        <w:rPr>
          <w:rFonts w:hint="eastAsia" w:ascii="仿宋_GB2312" w:hAnsi="仿宋_GB2312" w:eastAsia="仿宋_GB2312" w:cs="仿宋_GB2312"/>
          <w:snapToGrid w:val="0"/>
          <w:spacing w:val="-6"/>
          <w:sz w:val="32"/>
          <w:szCs w:val="32"/>
          <w:lang w:val="en-US" w:bidi="ar-SA"/>
        </w:rPr>
        <w:t xml:space="preserve"> 代理机构在网上通过服务平台提出入驻申请，按要求填报相关信息，上传有关材料原件扫描件，并对所提供的信息和材料的合法性、真实性、准确性进行承诺，同意遵守服务平台的管理规定。入驻单位可根据业务开展需要选择上传以下资料：</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（一）信用承诺书；</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（二）服务平台入驻登记表；</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（三）工商营业执照；</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（四）法定代表人身份证明书及授权委托书；</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（五）从业人员信息及执业资格信息；</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（六）其他资料。</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第十条</w:t>
      </w:r>
      <w:r>
        <w:rPr>
          <w:rFonts w:hint="eastAsia" w:ascii="仿宋_GB2312" w:hAnsi="仿宋_GB2312" w:eastAsia="仿宋_GB2312" w:cs="仿宋_GB2312"/>
          <w:snapToGrid w:val="0"/>
          <w:spacing w:val="-6"/>
          <w:sz w:val="32"/>
          <w:szCs w:val="32"/>
          <w:lang w:val="en-US" w:bidi="ar-SA"/>
        </w:rPr>
        <w:t xml:space="preserve"> 交易中心收到入驻申请后，3个工作日内对申请材料进行核对，需补正的一次性告知。核对通过后，在服务平台登记入驻。</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第十一条</w:t>
      </w:r>
      <w:r>
        <w:rPr>
          <w:rFonts w:hint="eastAsia" w:ascii="仿宋_GB2312" w:hAnsi="仿宋_GB2312" w:eastAsia="仿宋_GB2312" w:cs="仿宋_GB2312"/>
          <w:snapToGrid w:val="0"/>
          <w:spacing w:val="-6"/>
          <w:sz w:val="32"/>
          <w:szCs w:val="32"/>
          <w:lang w:val="en-US" w:bidi="ar-SA"/>
        </w:rPr>
        <w:t xml:space="preserve"> 代理机构入驻后，需使用电子数字证书（数字证书CA在陕西省公共资源交易中心统一办理）通过服务平台维护更新相关信息，参与交易活动。</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第十二条</w:t>
      </w:r>
      <w:r>
        <w:rPr>
          <w:rFonts w:hint="eastAsia" w:ascii="仿宋_GB2312" w:hAnsi="仿宋_GB2312" w:eastAsia="仿宋_GB2312" w:cs="仿宋_GB2312"/>
          <w:snapToGrid w:val="0"/>
          <w:spacing w:val="-6"/>
          <w:sz w:val="32"/>
          <w:szCs w:val="32"/>
          <w:lang w:val="en-US" w:bidi="ar-SA"/>
        </w:rPr>
        <w:t xml:space="preserve"> 代理机构入驻服务平台服务的有效期与其资质证书有效期一致。涉及入驻延续、业务授权人等信息变更的，应当凭电子数字证书及有效证照通过服务平台申请变更，经核对确认后生效。</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第十三条</w:t>
      </w:r>
      <w:r>
        <w:rPr>
          <w:rFonts w:hint="eastAsia" w:ascii="仿宋_GB2312" w:hAnsi="仿宋_GB2312" w:eastAsia="仿宋_GB2312" w:cs="仿宋_GB2312"/>
          <w:snapToGrid w:val="0"/>
          <w:spacing w:val="-6"/>
          <w:sz w:val="32"/>
          <w:szCs w:val="32"/>
          <w:lang w:val="en-US" w:bidi="ar-SA"/>
        </w:rPr>
        <w:t xml:space="preserve"> 服务平台数据库的信息，应当包括代理机构的名称、性质、地址、资质证书种类、等级、有效期、法定代表人、授权业务代表人和人员结构、服务承诺、信用记录等内容，并严格按照法律法规规定的类别、专业、行业、服务范围、等级等进行科学分类，全面、真实、客观地反映代理机构情况，确保在库信息与资质信息一致。</w:t>
      </w:r>
    </w:p>
    <w:bookmarkEnd w:id="0"/>
    <w:p>
      <w:pPr>
        <w:suppressLineNumbers/>
        <w:autoSpaceDE/>
        <w:autoSpaceDN/>
        <w:spacing w:beforeLines="100" w:afterLines="100" w:line="560" w:lineRule="exact"/>
        <w:jc w:val="center"/>
        <w:outlineLvl w:val="0"/>
        <w:rPr>
          <w:rFonts w:ascii="黑体" w:hAnsi="黑体" w:eastAsia="黑体" w:cs="仿宋_GB2312"/>
          <w:bCs/>
          <w:snapToGrid w:val="0"/>
          <w:spacing w:val="-6"/>
          <w:sz w:val="32"/>
          <w:szCs w:val="32"/>
          <w:lang w:val="en-US" w:bidi="ar-SA"/>
        </w:rPr>
      </w:pPr>
      <w:r>
        <w:rPr>
          <w:rFonts w:hint="eastAsia" w:ascii="黑体" w:hAnsi="黑体" w:eastAsia="黑体" w:cs="仿宋_GB2312"/>
          <w:bCs/>
          <w:snapToGrid w:val="0"/>
          <w:spacing w:val="-6"/>
          <w:sz w:val="32"/>
          <w:szCs w:val="32"/>
          <w:lang w:val="en-US" w:bidi="ar-SA"/>
        </w:rPr>
        <w:t>第三章  诚信管理</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第十四条 </w:t>
      </w:r>
      <w:r>
        <w:rPr>
          <w:rFonts w:hint="eastAsia" w:ascii="仿宋_GB2312" w:hAnsi="仿宋_GB2312" w:eastAsia="仿宋_GB2312" w:cs="仿宋_GB2312"/>
          <w:snapToGrid w:val="0"/>
          <w:spacing w:val="-6"/>
          <w:sz w:val="32"/>
          <w:szCs w:val="32"/>
          <w:lang w:val="en-US" w:bidi="ar-SA"/>
        </w:rPr>
        <w:t>诚信管理按照服务评价、服务评分和失信惩戒相结合的方式进行。服务评价和服务评分单位包括委托单位、行业监管部门及交易中心。</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 xml:space="preserve">服务评价是各评价单位在代理机构服务过程中或结束后对代理机构的服务规范、质量、收费、效率、态度等方面进行主观评论描述或“星级”评价，供后续其他委托单位在服务选取时参考。 </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服务评分是各评分单位按照“一事一评”原则，对代理机构在具体服务过程中的实际行为进行打分，打分标准参照《西咸新区公共资源交易代理机构服务行为扣分表》执行。服务评分分值是代理机构所有单个项目评分的平均值，单个项目的基础分值为100分。需对同一项目下出现相同事项扣分的，仅扣一次，扣分后当即录入系统平台。</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代理机构出现一般失信行为和严重失信行为的，在服务平台网站“诚信黑榜”公布相关信息。一般失信行为在认定后次日起6个月内限制其参与选取，严重失信行为在认定后次日起1年内限制其参与选取。</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第十五条</w:t>
      </w:r>
      <w:r>
        <w:rPr>
          <w:rFonts w:hint="eastAsia" w:ascii="仿宋_GB2312" w:hAnsi="仿宋_GB2312" w:eastAsia="仿宋_GB2312" w:cs="仿宋_GB2312"/>
          <w:snapToGrid w:val="0"/>
          <w:spacing w:val="-6"/>
          <w:sz w:val="32"/>
          <w:szCs w:val="32"/>
          <w:lang w:val="en-US" w:bidi="ar-SA"/>
        </w:rPr>
        <w:t xml:space="preserve"> 代理机构存在下列行为之一的，经行业监管部门依照相应法律法规核实、认定后，由交易中心在服务平台记为一般失信行为：</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（一）代理机构报名却无故不参与选取在一个自然年度达3次的，或者无故放弃中选结果以及无正当理由不按时与委托单位签订合同的；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（二）擅自提高服务收费或变相要求委托单位增加服务费用的；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（三）无正当理由不按合同要求的服务时间完成服务的；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（四）中选代理机构因自身条件不满足公告全部条件导致无法签订合同或者存在应当回避情形却未回避的；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（五）法定代表人、授权人等信息未按规定进行实名登记的；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（六）经查实未履行有关守信承诺的；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（七）作为投诉人在服务平台1年内二次以上投诉查无实据的；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（八）其他应当记作一般失信的行为。</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第十六条 </w:t>
      </w:r>
      <w:r>
        <w:rPr>
          <w:rFonts w:hint="eastAsia" w:ascii="仿宋_GB2312" w:hAnsi="仿宋_GB2312" w:eastAsia="仿宋_GB2312" w:cs="仿宋_GB2312"/>
          <w:snapToGrid w:val="0"/>
          <w:spacing w:val="-6"/>
          <w:sz w:val="32"/>
          <w:szCs w:val="32"/>
          <w:lang w:val="en-US" w:bidi="ar-SA"/>
        </w:rPr>
        <w:t xml:space="preserve">代理机构存在下列行为之一的，经行业监管部门依照相应法律法规核实、认定后，由交易中心在服务平台记为严重失信行为： </w:t>
      </w:r>
    </w:p>
    <w:p>
      <w:pPr>
        <w:numPr>
          <w:ilvl w:val="0"/>
          <w:numId w:val="2"/>
        </w:num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提供虚假材料、证照（伪造、篡改、转借、借用证照、挂靠）等入驻服务平台的；</w:t>
      </w:r>
    </w:p>
    <w:p>
      <w:pPr>
        <w:numPr>
          <w:ilvl w:val="0"/>
          <w:numId w:val="2"/>
        </w:num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场外交易或无正当理由规避交易中心电子化交易平台的；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（三）不同代理机构使用相同网络地址报名和办理业务的；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 xml:space="preserve">（四）不同代理机构的业务授权人为同一人或相同联系电话号码的； </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（五）与委托单位、其他代理机构、评审专家或竞争主体相互串通，或干扰竞争主体参与竞争等扰乱公平竞争秩序的；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（六）在提供服务时，利用工作便利，谋取不正当利益的；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（七）贿赂委托单位、交易当事人和其他有关人员的；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（八）违法违规或违反合同规定将项目进行转包或分包的；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（九）捏造事实、提供虚假材料、以非法手段取得证明材料进行投诉的；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（十）有严重违法和严重失信行为，被有关行业监管部门列入有关失信联合惩戒黑名单的；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（十一）企业或专业技术人员在从事采购（招标）代理、拍卖代理活动中违法违规受到行政处罚的；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（十二）未遵守行业规则、严格保守项目信息机密的；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（十三）其他应当记作严重失信的行为。</w:t>
      </w:r>
    </w:p>
    <w:p>
      <w:pPr>
        <w:suppressLineNumbers/>
        <w:autoSpaceDE/>
        <w:autoSpaceDN/>
        <w:spacing w:line="560" w:lineRule="exact"/>
        <w:ind w:firstLine="619"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第十七条 </w:t>
      </w:r>
      <w:r>
        <w:rPr>
          <w:rFonts w:hint="eastAsia" w:ascii="仿宋_GB2312" w:hAnsi="仿宋_GB2312" w:eastAsia="仿宋_GB2312" w:cs="仿宋_GB2312"/>
          <w:snapToGrid w:val="0"/>
          <w:spacing w:val="-6"/>
          <w:sz w:val="32"/>
          <w:szCs w:val="32"/>
          <w:lang w:val="en-US" w:bidi="ar-SA"/>
        </w:rPr>
        <w:t>服务评分结果使用</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代理机构服务评分、服务评价、差错率（累计扣分值/代理项目个数的百分比）、以往参与项目等信息在服务平台门户网站中公布，供委托单位选取时参考。</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代理机构因一般失信及严重失信行为被限制选取的，该机构其他未完成项目不再参与服务评分，限制期满其服务评分基数按70</w:t>
      </w:r>
      <w:r>
        <w:rPr>
          <w:rFonts w:ascii="仿宋_GB2312" w:hAnsi="仿宋_GB2312" w:eastAsia="仿宋_GB2312" w:cs="仿宋_GB2312"/>
          <w:snapToGrid w:val="0"/>
          <w:spacing w:val="-6"/>
          <w:sz w:val="32"/>
          <w:szCs w:val="32"/>
          <w:lang w:val="en-US" w:bidi="ar-SA"/>
        </w:rPr>
        <w:t>分计算</w:t>
      </w:r>
      <w:r>
        <w:rPr>
          <w:rFonts w:hint="eastAsia" w:ascii="仿宋_GB2312" w:hAnsi="仿宋_GB2312" w:eastAsia="仿宋_GB2312" w:cs="仿宋_GB2312"/>
          <w:snapToGrid w:val="0"/>
          <w:spacing w:val="-6"/>
          <w:sz w:val="32"/>
          <w:szCs w:val="32"/>
          <w:lang w:val="en-US" w:bidi="ar-SA"/>
        </w:rPr>
        <w:t>。</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第十八条</w:t>
      </w:r>
      <w:r>
        <w:rPr>
          <w:rFonts w:hint="eastAsia" w:ascii="仿宋_GB2312" w:hAnsi="仿宋_GB2312" w:eastAsia="仿宋_GB2312" w:cs="仿宋_GB2312"/>
          <w:snapToGrid w:val="0"/>
          <w:spacing w:val="-6"/>
          <w:sz w:val="32"/>
          <w:szCs w:val="32"/>
          <w:lang w:val="en-US" w:bidi="ar-SA"/>
        </w:rPr>
        <w:t xml:space="preserve"> 代理机构违反有关法律法规，被行政部门或司法机关处罚的，按照行政或司法处理决定实施。</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第十九条</w:t>
      </w:r>
      <w:r>
        <w:rPr>
          <w:rFonts w:hint="eastAsia" w:ascii="仿宋_GB2312" w:hAnsi="仿宋_GB2312" w:eastAsia="仿宋_GB2312" w:cs="仿宋_GB2312"/>
          <w:snapToGrid w:val="0"/>
          <w:spacing w:val="-6"/>
          <w:sz w:val="32"/>
          <w:szCs w:val="32"/>
          <w:lang w:val="en-US" w:bidi="ar-SA"/>
        </w:rPr>
        <w:t xml:space="preserve"> 服务平台将与新区公共资源交易平台、信用中国（陕西）平台、省建筑市场监管诚信一体化平台及</w:t>
      </w:r>
      <w:r>
        <w:rPr>
          <w:rFonts w:hint="eastAsia" w:ascii="仿宋_GB2312" w:hAnsi="仿宋_GB2312" w:eastAsia="仿宋_GB2312" w:cs="仿宋_GB2312"/>
          <w:snapToGrid w:val="0"/>
          <w:spacing w:val="-6"/>
          <w:sz w:val="32"/>
          <w:szCs w:val="32"/>
          <w:lang w:val="en-US"/>
        </w:rPr>
        <w:t>政府采购信用评价系统等</w:t>
      </w:r>
      <w:r>
        <w:rPr>
          <w:rFonts w:hint="eastAsia" w:ascii="仿宋_GB2312" w:hAnsi="仿宋_GB2312" w:eastAsia="仿宋_GB2312" w:cs="仿宋_GB2312"/>
          <w:snapToGrid w:val="0"/>
          <w:spacing w:val="-6"/>
          <w:sz w:val="32"/>
          <w:szCs w:val="32"/>
          <w:lang w:val="en-US" w:bidi="ar-SA"/>
        </w:rPr>
        <w:t>法定平台对接，由行业监管部门将信用情况及时传入相关信用平台，记录代理机构的信用行为。</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第二十条 </w:t>
      </w:r>
      <w:r>
        <w:rPr>
          <w:rFonts w:hint="eastAsia" w:ascii="仿宋_GB2312" w:hAnsi="仿宋_GB2312" w:eastAsia="仿宋_GB2312" w:cs="仿宋_GB2312"/>
          <w:snapToGrid w:val="0"/>
          <w:spacing w:val="-6"/>
          <w:sz w:val="32"/>
          <w:szCs w:val="32"/>
          <w:lang w:val="en-US" w:bidi="ar-SA"/>
        </w:rPr>
        <w:t>委托单位或人员，以及新区其他单位或个人有以下行为的，由新区公共资源交易管理部门协调行业监管部门进行核实、查处；涉及违法犯罪的，移交纪委监察部门处理:</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（一）以暗中建库、强行指定、限定选取方式或其他情形阻挠和限制委托单位自主选取代理机构的；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（二）阻挠和限制代理机构入驻服务平台的；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（三）无故对选取结果不予确认的，或无故不签订服务合同的；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（四）未按照本办法规定在服务平台外选取代理机构、逃避信用监管的；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（五）选取代理机构时不在服务平台登记项目信息和中选结果的；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（六）服务过程中对代理机构吃、拿、卡、要，或与代理机构存在不正当利益输送的；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（七）违法从事或强制指定采购（招标）、拍卖等中介服务的。</w:t>
      </w:r>
    </w:p>
    <w:p>
      <w:pPr>
        <w:suppressLineNumbers/>
        <w:autoSpaceDE/>
        <w:autoSpaceDN/>
        <w:spacing w:beforeLines="100" w:afterLines="100" w:line="560" w:lineRule="exact"/>
        <w:jc w:val="center"/>
        <w:outlineLvl w:val="0"/>
        <w:rPr>
          <w:rFonts w:ascii="黑体" w:hAnsi="黑体" w:eastAsia="黑体" w:cs="仿宋_GB2312"/>
          <w:bCs/>
          <w:snapToGrid w:val="0"/>
          <w:spacing w:val="-6"/>
          <w:sz w:val="32"/>
          <w:szCs w:val="32"/>
          <w:lang w:val="en-US" w:bidi="ar-SA"/>
        </w:rPr>
      </w:pPr>
      <w:r>
        <w:rPr>
          <w:rFonts w:hint="eastAsia" w:ascii="黑体" w:hAnsi="黑体" w:eastAsia="黑体" w:cs="仿宋_GB2312"/>
          <w:bCs/>
          <w:snapToGrid w:val="0"/>
          <w:spacing w:val="-6"/>
          <w:sz w:val="32"/>
          <w:szCs w:val="32"/>
          <w:lang w:val="en-US" w:bidi="ar-SA"/>
        </w:rPr>
        <w:t>第四章  机构选取</w:t>
      </w:r>
    </w:p>
    <w:p>
      <w:pPr>
        <w:suppressLineNumbers/>
        <w:autoSpaceDE/>
        <w:autoSpaceDN/>
        <w:spacing w:line="560" w:lineRule="exact"/>
        <w:ind w:firstLine="619" w:firstLineChars="200"/>
        <w:jc w:val="both"/>
        <w:rPr>
          <w:rFonts w:ascii="仿宋_GB2312" w:hAnsi="仿宋_GB2312" w:eastAsia="仿宋_GB2312" w:cs="仿宋_GB2312"/>
          <w:snapToGrid w:val="0"/>
          <w:color w:val="FF000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第二十一条 </w:t>
      </w:r>
      <w:r>
        <w:rPr>
          <w:rFonts w:hint="eastAsia" w:ascii="仿宋_GB2312" w:hAnsi="仿宋_GB2312" w:eastAsia="仿宋_GB2312" w:cs="仿宋_GB2312"/>
          <w:snapToGrid w:val="0"/>
          <w:spacing w:val="-6"/>
          <w:sz w:val="32"/>
          <w:szCs w:val="32"/>
          <w:lang w:val="en-US" w:bidi="ar-SA"/>
        </w:rPr>
        <w:t>委托单位按照“一事一选”原则选取代理机构。委托单位首次委托应当在服务平台注册基本信息。</w:t>
      </w:r>
    </w:p>
    <w:p>
      <w:pPr>
        <w:suppressLineNumbers/>
        <w:autoSpaceDE/>
        <w:autoSpaceDN/>
        <w:spacing w:line="560" w:lineRule="exact"/>
        <w:ind w:firstLine="619" w:firstLineChars="200"/>
        <w:jc w:val="both"/>
        <w:rPr>
          <w:rFonts w:ascii="仿宋_GB2312" w:hAnsi="仿宋_GB2312" w:eastAsia="仿宋_GB2312" w:cs="仿宋_GB2312"/>
          <w:snapToGrid w:val="0"/>
          <w:color w:val="FF000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第二十二条 </w:t>
      </w:r>
      <w:r>
        <w:rPr>
          <w:rFonts w:hint="eastAsia" w:ascii="仿宋_GB2312" w:hAnsi="仿宋_GB2312" w:eastAsia="仿宋_GB2312" w:cs="仿宋_GB2312"/>
          <w:snapToGrid w:val="0"/>
          <w:spacing w:val="-6"/>
          <w:sz w:val="32"/>
          <w:szCs w:val="32"/>
          <w:lang w:val="en-US" w:bidi="ar-SA"/>
        </w:rPr>
        <w:t>委托单位可结合实际建立科学合理的自主选取机制，完善内控制度，择优选取代理机构。为便于委托单位自主实施选取工作，平台具备“便捷选取”、“综合选取”两类功能，委托单位自主选择使用。</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（一）便捷选取。</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直接选取。委托单位在服务平台中，参考服务评价和评分情况，直接选取1家机构进行合作。</w:t>
      </w:r>
    </w:p>
    <w:p>
      <w:pPr>
        <w:suppressLineNumbers/>
        <w:autoSpaceDE/>
        <w:autoSpaceDN/>
        <w:spacing w:line="560" w:lineRule="exact"/>
        <w:ind w:firstLine="616" w:firstLineChars="200"/>
        <w:jc w:val="both"/>
        <w:rPr>
          <w:rFonts w:ascii="仿宋_GB2312" w:hAnsi="仿宋_GB2312" w:eastAsia="仿宋_GB2312" w:cs="仿宋_GB2312"/>
          <w:snapToGrid w:val="0"/>
          <w:color w:val="FF0000"/>
          <w:spacing w:val="-6"/>
          <w:sz w:val="32"/>
          <w:szCs w:val="32"/>
          <w:lang w:val="en-US" w:bidi="ar-SA"/>
        </w:rPr>
      </w:pPr>
      <w:r>
        <w:rPr>
          <w:rFonts w:hint="eastAsia" w:ascii="仿宋_GB2312" w:hAnsi="仿宋_GB2312" w:eastAsia="仿宋_GB2312" w:cs="仿宋_GB2312"/>
          <w:bCs/>
          <w:snapToGrid w:val="0"/>
          <w:spacing w:val="-6"/>
          <w:sz w:val="32"/>
          <w:szCs w:val="32"/>
          <w:lang w:val="en-US" w:bidi="ar-SA"/>
        </w:rPr>
        <w:t>随机选取。</w:t>
      </w:r>
      <w:r>
        <w:rPr>
          <w:rFonts w:hint="eastAsia" w:ascii="仿宋_GB2312" w:hAnsi="仿宋_GB2312" w:eastAsia="仿宋_GB2312" w:cs="仿宋_GB2312"/>
          <w:sz w:val="32"/>
          <w:szCs w:val="32"/>
          <w:lang w:val="en-US"/>
        </w:rPr>
        <w:t>系统根据委托单位设定的筛选条件，在报名的代理机构中</w:t>
      </w:r>
      <w:r>
        <w:rPr>
          <w:rFonts w:hint="eastAsia" w:ascii="仿宋_GB2312" w:hAnsi="仿宋_GB2312" w:eastAsia="仿宋_GB2312" w:cs="仿宋_GB2312"/>
          <w:sz w:val="32"/>
          <w:szCs w:val="32"/>
        </w:rPr>
        <w:t>随机抽取</w:t>
      </w:r>
      <w:r>
        <w:rPr>
          <w:rFonts w:hint="eastAsia" w:ascii="仿宋_GB2312" w:hAnsi="仿宋_GB2312" w:eastAsia="仿宋_GB2312" w:cs="仿宋_GB2312"/>
          <w:sz w:val="32"/>
          <w:szCs w:val="32"/>
          <w:lang w:val="en-US"/>
        </w:rPr>
        <w:t>1至</w:t>
      </w:r>
      <w:r>
        <w:rPr>
          <w:rFonts w:ascii="仿宋_GB2312" w:hAnsi="仿宋_GB2312" w:eastAsia="仿宋_GB2312" w:cs="仿宋_GB2312"/>
          <w:sz w:val="32"/>
          <w:szCs w:val="32"/>
          <w:lang w:val="en-US"/>
        </w:rPr>
        <w:t>5家机构</w:t>
      </w:r>
      <w:r>
        <w:rPr>
          <w:rFonts w:hint="eastAsia" w:ascii="仿宋_GB2312" w:hAnsi="仿宋_GB2312" w:eastAsia="仿宋_GB2312" w:cs="仿宋_GB2312"/>
          <w:sz w:val="32"/>
          <w:szCs w:val="32"/>
          <w:lang w:val="en-US"/>
        </w:rPr>
        <w:t>，委托单位可参考服务评价和评分情况，自主选取1家机构进行合作。</w:t>
      </w:r>
    </w:p>
    <w:p>
      <w:pPr>
        <w:suppressLineNumbers/>
        <w:autoSpaceDE/>
        <w:autoSpaceDN/>
        <w:spacing w:line="560" w:lineRule="exact"/>
        <w:ind w:firstLine="616"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bCs/>
          <w:snapToGrid w:val="0"/>
          <w:spacing w:val="-6"/>
          <w:sz w:val="32"/>
          <w:szCs w:val="32"/>
          <w:lang w:val="en-US" w:bidi="ar-SA"/>
        </w:rPr>
        <w:t>报价选取</w:t>
      </w:r>
      <w:r>
        <w:rPr>
          <w:rFonts w:hint="eastAsia" w:ascii="仿宋_GB2312" w:hAnsi="仿宋_GB2312" w:eastAsia="仿宋_GB2312" w:cs="仿宋_GB2312"/>
          <w:snapToGrid w:val="0"/>
          <w:spacing w:val="-6"/>
          <w:sz w:val="32"/>
          <w:szCs w:val="32"/>
          <w:lang w:val="en-US" w:bidi="ar-SA"/>
        </w:rPr>
        <w:t>。</w:t>
      </w:r>
      <w:r>
        <w:rPr>
          <w:rFonts w:hint="eastAsia" w:ascii="仿宋_GB2312" w:hAnsi="仿宋_GB2312" w:eastAsia="仿宋_GB2312" w:cs="仿宋_GB2312"/>
          <w:sz w:val="32"/>
          <w:szCs w:val="32"/>
          <w:lang w:val="en-US"/>
        </w:rPr>
        <w:t>委托单位</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rPr>
        <w:t>符合条件并参与</w:t>
      </w:r>
      <w:r>
        <w:rPr>
          <w:rFonts w:hint="eastAsia" w:ascii="仿宋_GB2312" w:hAnsi="仿宋_GB2312" w:eastAsia="仿宋_GB2312" w:cs="仿宋_GB2312"/>
          <w:sz w:val="32"/>
          <w:szCs w:val="32"/>
        </w:rPr>
        <w:t>竞价</w:t>
      </w:r>
      <w:r>
        <w:rPr>
          <w:rFonts w:hint="eastAsia" w:ascii="仿宋_GB2312" w:hAnsi="仿宋_GB2312" w:eastAsia="仿宋_GB2312" w:cs="仿宋_GB2312"/>
          <w:sz w:val="32"/>
          <w:szCs w:val="32"/>
          <w:lang w:val="en-US"/>
        </w:rPr>
        <w:t>的</w:t>
      </w:r>
      <w:r>
        <w:rPr>
          <w:rFonts w:hint="eastAsia" w:ascii="仿宋_GB2312" w:hAnsi="仿宋_GB2312" w:eastAsia="仿宋_GB2312" w:cs="仿宋_GB2312"/>
          <w:sz w:val="32"/>
          <w:szCs w:val="32"/>
        </w:rPr>
        <w:t>代理机构中，选取有效合理低价的代理机构进行合作。</w:t>
      </w:r>
      <w:r>
        <w:rPr>
          <w:rFonts w:hint="eastAsia" w:ascii="仿宋_GB2312" w:hAnsi="仿宋_GB2312" w:eastAsia="仿宋_GB2312" w:cs="仿宋_GB2312"/>
          <w:sz w:val="32"/>
          <w:szCs w:val="32"/>
          <w:lang w:val="en-US"/>
        </w:rPr>
        <w:t>选取程序为：符合条件的代理机构按照不高于委托单位确定的最高限价的原则，在规定时间内一次性报价，报价截止后，系统按照由低到高报价排序产生1至</w:t>
      </w:r>
      <w:r>
        <w:rPr>
          <w:rFonts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rPr>
        <w:t xml:space="preserve">名次单位，委托单位可参考服务评价和服务评分情况确定代理机构。  </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w:t>
      </w:r>
      <w:r>
        <w:rPr>
          <w:rFonts w:hint="eastAsia" w:ascii="仿宋_GB2312" w:hAnsi="仿宋_GB2312" w:eastAsia="仿宋_GB2312" w:cs="仿宋_GB2312"/>
          <w:bCs/>
          <w:snapToGrid w:val="0"/>
          <w:spacing w:val="-6"/>
          <w:sz w:val="32"/>
          <w:szCs w:val="32"/>
          <w:lang w:val="en-US" w:bidi="ar-SA"/>
        </w:rPr>
        <w:t>综合选取。</w:t>
      </w:r>
    </w:p>
    <w:p>
      <w:pPr>
        <w:suppressLineNumbers/>
        <w:autoSpaceDE/>
        <w:autoSpaceDN/>
        <w:spacing w:line="560" w:lineRule="exact"/>
        <w:ind w:firstLine="616"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bCs/>
          <w:snapToGrid w:val="0"/>
          <w:spacing w:val="-6"/>
          <w:sz w:val="32"/>
          <w:szCs w:val="32"/>
          <w:lang w:val="en-US" w:bidi="ar-SA"/>
        </w:rPr>
        <w:t>委托单位</w:t>
      </w:r>
      <w:r>
        <w:rPr>
          <w:rFonts w:hint="eastAsia" w:ascii="仿宋_GB2312" w:hAnsi="仿宋_GB2312" w:eastAsia="仿宋_GB2312" w:cs="仿宋_GB2312"/>
          <w:sz w:val="32"/>
          <w:szCs w:val="32"/>
          <w:lang w:val="en-US"/>
        </w:rPr>
        <w:t>自行设定评选规则，</w:t>
      </w:r>
      <w:r>
        <w:rPr>
          <w:rFonts w:hint="eastAsia" w:ascii="仿宋_GB2312" w:hAnsi="仿宋_GB2312" w:eastAsia="仿宋_GB2312" w:cs="仿宋_GB2312"/>
          <w:snapToGrid w:val="0"/>
          <w:spacing w:val="-6"/>
          <w:sz w:val="32"/>
          <w:szCs w:val="32"/>
          <w:lang w:val="en-US" w:bidi="ar-SA"/>
        </w:rPr>
        <w:t>在</w:t>
      </w:r>
      <w:r>
        <w:rPr>
          <w:rFonts w:ascii="仿宋_GB2312" w:hAnsi="仿宋_GB2312" w:eastAsia="仿宋_GB2312" w:cs="仿宋_GB2312"/>
          <w:snapToGrid w:val="0"/>
          <w:spacing w:val="-6"/>
          <w:sz w:val="32"/>
          <w:szCs w:val="32"/>
          <w:lang w:val="en-US" w:bidi="ar-SA"/>
        </w:rPr>
        <w:t>服务平台</w:t>
      </w:r>
      <w:r>
        <w:rPr>
          <w:rFonts w:hint="eastAsia" w:ascii="仿宋_GB2312" w:hAnsi="仿宋_GB2312" w:eastAsia="仿宋_GB2312" w:cs="仿宋_GB2312"/>
          <w:snapToGrid w:val="0"/>
          <w:spacing w:val="-6"/>
          <w:sz w:val="32"/>
          <w:szCs w:val="32"/>
          <w:lang w:val="en-US" w:bidi="ar-SA"/>
        </w:rPr>
        <w:t>公开征集意向代理机构，并</w:t>
      </w:r>
      <w:r>
        <w:rPr>
          <w:rFonts w:hint="eastAsia" w:ascii="仿宋_GB2312" w:hAnsi="仿宋_GB2312" w:eastAsia="仿宋_GB2312" w:cs="仿宋_GB2312"/>
          <w:sz w:val="32"/>
          <w:szCs w:val="32"/>
          <w:lang w:val="en-US"/>
        </w:rPr>
        <w:t>自行组织评选。</w:t>
      </w:r>
      <w:r>
        <w:rPr>
          <w:rFonts w:hint="eastAsia" w:ascii="仿宋_GB2312" w:hAnsi="仿宋_GB2312" w:eastAsia="仿宋_GB2312" w:cs="仿宋_GB2312"/>
          <w:snapToGrid w:val="0"/>
          <w:spacing w:val="-6"/>
          <w:sz w:val="32"/>
          <w:szCs w:val="32"/>
          <w:lang w:val="en-US" w:bidi="ar-SA"/>
        </w:rPr>
        <w:t>符合</w:t>
      </w:r>
      <w:r>
        <w:rPr>
          <w:rFonts w:hint="eastAsia" w:ascii="仿宋_GB2312" w:hAnsi="仿宋_GB2312" w:eastAsia="仿宋_GB2312" w:cs="仿宋_GB2312"/>
          <w:sz w:val="32"/>
          <w:szCs w:val="32"/>
          <w:lang w:val="en-US"/>
        </w:rPr>
        <w:t>条件的代理机构自愿参与。</w:t>
      </w:r>
      <w:r>
        <w:rPr>
          <w:rFonts w:hint="eastAsia" w:ascii="仿宋_GB2312" w:hAnsi="仿宋_GB2312" w:eastAsia="仿宋_GB2312" w:cs="仿宋_GB2312"/>
          <w:snapToGrid w:val="0"/>
          <w:spacing w:val="-6"/>
          <w:sz w:val="32"/>
          <w:szCs w:val="32"/>
          <w:lang w:val="en-US" w:bidi="ar-SA"/>
        </w:rPr>
        <w:t>选取完成后，委托单位须将选取结果上传</w:t>
      </w:r>
      <w:r>
        <w:rPr>
          <w:rFonts w:hint="eastAsia" w:ascii="仿宋_GB2312" w:hAnsi="仿宋_GB2312" w:eastAsia="仿宋_GB2312" w:cs="仿宋_GB2312"/>
          <w:sz w:val="32"/>
          <w:szCs w:val="32"/>
          <w:lang w:val="en-US"/>
        </w:rPr>
        <w:t>至服务平台并公示。采取综合选取的，建议选取</w:t>
      </w:r>
      <w:r>
        <w:rPr>
          <w:rFonts w:hint="eastAsia" w:ascii="仿宋_GB2312" w:hAnsi="仿宋_GB2312" w:eastAsia="仿宋_GB2312" w:cs="仿宋_GB2312"/>
          <w:snapToGrid w:val="0"/>
          <w:spacing w:val="-6"/>
          <w:sz w:val="32"/>
          <w:szCs w:val="32"/>
          <w:lang w:val="en-US" w:bidi="ar-SA"/>
        </w:rPr>
        <w:t>诚信得分80分及以上的代理机构。</w:t>
      </w:r>
      <w:r>
        <w:rPr>
          <w:rFonts w:hint="eastAsia" w:ascii="仿宋_GB2312" w:hAnsi="仿宋_GB2312" w:eastAsia="仿宋_GB2312" w:cs="仿宋_GB2312"/>
          <w:sz w:val="32"/>
          <w:szCs w:val="32"/>
          <w:lang w:val="en-US"/>
        </w:rPr>
        <w:t>委托单位可参考服务评分、服务评价、差错率等确定代理机构。</w:t>
      </w:r>
    </w:p>
    <w:p>
      <w:pPr>
        <w:suppressLineNumbers/>
        <w:autoSpaceDE/>
        <w:autoSpaceDN/>
        <w:spacing w:line="560" w:lineRule="exact"/>
        <w:ind w:firstLine="619"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b/>
          <w:bCs/>
          <w:snapToGrid w:val="0"/>
          <w:spacing w:val="-6"/>
          <w:sz w:val="32"/>
          <w:szCs w:val="32"/>
          <w:lang w:val="en-US" w:bidi="ar-SA"/>
        </w:rPr>
        <w:t>第二十三条</w:t>
      </w:r>
      <w:r>
        <w:rPr>
          <w:rFonts w:hint="eastAsia" w:ascii="仿宋_GB2312" w:hAnsi="仿宋_GB2312" w:eastAsia="仿宋_GB2312" w:cs="仿宋_GB2312"/>
          <w:sz w:val="32"/>
          <w:szCs w:val="32"/>
          <w:lang w:val="en-US"/>
        </w:rPr>
        <w:t xml:space="preserve"> 委托单位在服务平台选取代理机构时，应在服务平台电子选取系统选择填报项目信息，包括：</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（一）委托单位名称；</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（二）选取代理机构方式；</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（三）服务内容、服务时限、服务预算等；</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（四）服务标的物基本情况。涉及工程项目的，应当包含工程项目名称、地址、项目基本情况（包含建设规模及内容、建设面积、资金投入、计划开竣工时间等具体信息）；</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（五）代理机构资质和执业人员资格要求。包含资质的类别、专业、服务范围、等级等内容。资质等级应按照服务标的物所要求的法定最低等级设定，选择最低等级以上的资质；</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（六）报名截止时间、选取时间地点；</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（七）回避情形；</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（八）联系人及联系电话。</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第二十四条</w:t>
      </w:r>
      <w:r>
        <w:rPr>
          <w:rFonts w:hint="eastAsia" w:ascii="仿宋_GB2312" w:hAnsi="仿宋_GB2312" w:eastAsia="仿宋_GB2312" w:cs="仿宋_GB2312"/>
          <w:snapToGrid w:val="0"/>
          <w:spacing w:val="-6"/>
          <w:sz w:val="32"/>
          <w:szCs w:val="32"/>
          <w:lang w:val="en-US" w:bidi="ar-SA"/>
        </w:rPr>
        <w:t xml:space="preserve"> 委托单位在服务平台录入选取代理机构项目信息后，交易中心在1个工作日内对项目信息进行受理，信息无误的，交易中心在服务平台网站推送服务选取公告；需要补正信息的，应当一次性告知，核查时间自补正后重新计算。 </w:t>
      </w:r>
    </w:p>
    <w:p>
      <w:pPr>
        <w:suppressLineNumbers/>
        <w:autoSpaceDE/>
        <w:autoSpaceDN/>
        <w:spacing w:line="560" w:lineRule="exact"/>
        <w:ind w:firstLine="619" w:firstLineChars="200"/>
        <w:jc w:val="both"/>
        <w:rPr>
          <w:rFonts w:ascii="仿宋_GB2312" w:hAnsi="仿宋_GB2312" w:eastAsia="仿宋_GB2312" w:cs="仿宋_GB2312"/>
          <w:snapToGrid w:val="0"/>
          <w:color w:val="FF000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第二十五条</w:t>
      </w:r>
      <w:r>
        <w:rPr>
          <w:rFonts w:hint="eastAsia" w:ascii="仿宋_GB2312" w:hAnsi="仿宋_GB2312" w:eastAsia="仿宋_GB2312" w:cs="仿宋_GB2312"/>
          <w:snapToGrid w:val="0"/>
          <w:spacing w:val="-6"/>
          <w:sz w:val="32"/>
          <w:szCs w:val="32"/>
          <w:lang w:val="en-US" w:bidi="ar-SA"/>
        </w:rPr>
        <w:t xml:space="preserve"> 选取如需报名的，代理机构应当在公告报名时间截止前通过服务平台报名，并确定自身满足公告的全部报名条件且不存在回避情形。公告信息发布的报名截止时间过后，服务平台不再接受报名。选取工作不接受现场报名。</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采用“随机选取”、“报价选取”的，报名时间不少于1个工作日，中选公示1个工作日。</w:t>
      </w:r>
    </w:p>
    <w:p>
      <w:pPr>
        <w:suppressLineNumbers/>
        <w:autoSpaceDE/>
        <w:autoSpaceDN/>
        <w:spacing w:line="560" w:lineRule="exact"/>
        <w:ind w:firstLine="616" w:firstLineChars="200"/>
        <w:jc w:val="both"/>
        <w:rPr>
          <w:rFonts w:ascii="仿宋_GB2312" w:hAnsi="仿宋_GB2312" w:eastAsia="仿宋_GB2312" w:cs="仿宋_GB2312"/>
          <w:snapToGrid w:val="0"/>
          <w:color w:val="FF0000"/>
          <w:spacing w:val="-6"/>
          <w:sz w:val="32"/>
          <w:szCs w:val="32"/>
          <w:lang w:val="en-US" w:bidi="ar-SA"/>
        </w:rPr>
      </w:pPr>
      <w:r>
        <w:rPr>
          <w:rFonts w:hint="eastAsia" w:ascii="仿宋_GB2312" w:hAnsi="仿宋_GB2312" w:eastAsia="仿宋_GB2312" w:cs="仿宋_GB2312"/>
          <w:snapToGrid w:val="0"/>
          <w:spacing w:val="-6"/>
          <w:sz w:val="32"/>
          <w:szCs w:val="32"/>
          <w:lang w:val="en-US" w:bidi="ar-SA"/>
        </w:rPr>
        <w:t>采用“综合选取”的，报名时间不少于2个工作日，中选公示不少于1个工作日。</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第二十六条 </w:t>
      </w:r>
      <w:r>
        <w:rPr>
          <w:rFonts w:hint="eastAsia" w:ascii="仿宋_GB2312" w:hAnsi="仿宋_GB2312" w:eastAsia="仿宋_GB2312" w:cs="仿宋_GB2312"/>
          <w:snapToGrid w:val="0"/>
          <w:spacing w:val="-6"/>
          <w:sz w:val="32"/>
          <w:szCs w:val="32"/>
          <w:lang w:val="en-US" w:bidi="ar-SA"/>
        </w:rPr>
        <w:t>采用“随机选取”、“报价选取”、“综合选取”的，选取信息发布后，如符合报名条件的代理机构不足</w:t>
      </w:r>
      <w:r>
        <w:rPr>
          <w:rFonts w:ascii="仿宋_GB2312" w:hAnsi="仿宋_GB2312" w:eastAsia="仿宋_GB2312" w:cs="仿宋_GB2312"/>
          <w:snapToGrid w:val="0"/>
          <w:spacing w:val="-6"/>
          <w:sz w:val="32"/>
          <w:szCs w:val="32"/>
          <w:lang w:val="en-US" w:bidi="ar-SA"/>
        </w:rPr>
        <w:t>2</w:t>
      </w:r>
      <w:r>
        <w:rPr>
          <w:rFonts w:hint="eastAsia" w:ascii="仿宋_GB2312" w:hAnsi="仿宋_GB2312" w:eastAsia="仿宋_GB2312" w:cs="仿宋_GB2312"/>
          <w:snapToGrid w:val="0"/>
          <w:spacing w:val="-6"/>
          <w:sz w:val="32"/>
          <w:szCs w:val="32"/>
          <w:lang w:val="en-US" w:bidi="ar-SA"/>
        </w:rPr>
        <w:t>家，则由委托方发布第二次公告；若第二次公告报名代理机构仍然不足</w:t>
      </w:r>
      <w:r>
        <w:rPr>
          <w:rFonts w:ascii="仿宋_GB2312" w:hAnsi="仿宋_GB2312" w:eastAsia="仿宋_GB2312" w:cs="仿宋_GB2312"/>
          <w:snapToGrid w:val="0"/>
          <w:spacing w:val="-6"/>
          <w:sz w:val="32"/>
          <w:szCs w:val="32"/>
          <w:lang w:val="en-US" w:bidi="ar-SA"/>
        </w:rPr>
        <w:t>2</w:t>
      </w:r>
      <w:r>
        <w:rPr>
          <w:rFonts w:hint="eastAsia" w:ascii="仿宋_GB2312" w:hAnsi="仿宋_GB2312" w:eastAsia="仿宋_GB2312" w:cs="仿宋_GB2312"/>
          <w:snapToGrid w:val="0"/>
          <w:spacing w:val="-6"/>
          <w:sz w:val="32"/>
          <w:szCs w:val="32"/>
          <w:lang w:val="en-US" w:bidi="ar-SA"/>
        </w:rPr>
        <w:t>家的，则由委托单位根据项目情况自主确定合作机构。</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第二十七条</w:t>
      </w:r>
      <w:r>
        <w:rPr>
          <w:rFonts w:hint="eastAsia" w:ascii="仿宋_GB2312" w:hAnsi="仿宋_GB2312" w:eastAsia="仿宋_GB2312" w:cs="仿宋_GB2312"/>
          <w:snapToGrid w:val="0"/>
          <w:spacing w:val="-6"/>
          <w:sz w:val="32"/>
          <w:szCs w:val="32"/>
          <w:lang w:val="en-US" w:bidi="ar-SA"/>
        </w:rPr>
        <w:t xml:space="preserve"> 代理机构存在以下情形的，应当回避：</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（一）不同代理机构的法人代表或实际控制人为同一人的；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（二）代理机构的法人代表或实际控制人与委托单位法人代表或者项目负责人有配偶、直系血亲、三代以内旁系血亲或者近姻亲关系的；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（三）代理机构与委托单位正在进行法律诉讼的；</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（四）其他应当回避的情形。</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第二十八条 </w:t>
      </w:r>
      <w:r>
        <w:rPr>
          <w:rFonts w:hint="eastAsia" w:ascii="仿宋_GB2312" w:hAnsi="仿宋_GB2312" w:eastAsia="仿宋_GB2312" w:cs="仿宋_GB2312"/>
          <w:snapToGrid w:val="0"/>
          <w:spacing w:val="-6"/>
          <w:sz w:val="32"/>
          <w:szCs w:val="32"/>
          <w:lang w:val="en-US" w:bidi="ar-SA"/>
        </w:rPr>
        <w:t>委托单位完成选取后，应在服务平台上传中选结果。</w:t>
      </w:r>
    </w:p>
    <w:p>
      <w:pPr>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委托单位与中选代理机构签订合同之前，应当对中选的代理机构是否满足有关报名条件进行实质性核对。如果发现中选代理机构未满足公告全部报名条件或者存在应当回避情形之一的，应及时通报和取消其中选资格，并将结果告知交易中心。</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第三十条</w:t>
      </w:r>
      <w:r>
        <w:rPr>
          <w:rFonts w:hint="eastAsia" w:ascii="仿宋_GB2312" w:hAnsi="仿宋_GB2312" w:eastAsia="仿宋_GB2312" w:cs="仿宋_GB2312"/>
          <w:snapToGrid w:val="0"/>
          <w:spacing w:val="-6"/>
          <w:sz w:val="32"/>
          <w:szCs w:val="32"/>
          <w:lang w:val="en-US" w:bidi="ar-SA"/>
        </w:rPr>
        <w:t xml:space="preserve"> 选用代理机构结果一经产生，委托单位不得无正当理由拒绝使用选取的代理机构，代理机构不得无正当理由拒绝提供服务。</w:t>
      </w:r>
    </w:p>
    <w:p>
      <w:pPr>
        <w:spacing w:line="560" w:lineRule="exact"/>
        <w:ind w:firstLine="619"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napToGrid w:val="0"/>
          <w:spacing w:val="-6"/>
          <w:sz w:val="32"/>
          <w:szCs w:val="32"/>
          <w:lang w:val="en-US" w:bidi="ar-SA"/>
        </w:rPr>
        <w:t xml:space="preserve">第三十一条 </w:t>
      </w:r>
      <w:r>
        <w:rPr>
          <w:rFonts w:hint="eastAsia" w:ascii="仿宋_GB2312" w:hAnsi="仿宋_GB2312" w:eastAsia="仿宋_GB2312" w:cs="仿宋_GB2312"/>
          <w:snapToGrid w:val="0"/>
          <w:spacing w:val="-6"/>
          <w:sz w:val="32"/>
          <w:szCs w:val="32"/>
          <w:lang w:val="en-US" w:bidi="ar-SA"/>
        </w:rPr>
        <w:t>合同签订后，委托单位可根据情况自行打印中选凭证并留存，中选凭证可作为项目进入公共资源交易平台交易及后期项目监察、审计的凭证。需打印中选凭证的，应在服务平台上传合同。</w:t>
      </w:r>
    </w:p>
    <w:p>
      <w:pPr>
        <w:suppressLineNumbers/>
        <w:autoSpaceDE/>
        <w:autoSpaceDN/>
        <w:spacing w:line="560" w:lineRule="exact"/>
        <w:ind w:firstLine="643"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rPr>
        <w:t>三十二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因断电、通信中断、网络故障等不可抗力因素，造成选取活动不能正常开展的，交易中心应及时告知委托单位和代理机构，并重新组织选取活动。</w:t>
      </w:r>
    </w:p>
    <w:p>
      <w:pPr>
        <w:suppressLineNumbers/>
        <w:autoSpaceDE/>
        <w:autoSpaceDN/>
        <w:spacing w:beforeLines="100" w:afterLines="100" w:line="560" w:lineRule="exact"/>
        <w:jc w:val="center"/>
        <w:outlineLvl w:val="0"/>
        <w:rPr>
          <w:rFonts w:ascii="黑体" w:hAnsi="黑体" w:eastAsia="黑体" w:cs="仿宋_GB2312"/>
          <w:bCs/>
          <w:snapToGrid w:val="0"/>
          <w:spacing w:val="-6"/>
          <w:sz w:val="32"/>
          <w:szCs w:val="32"/>
          <w:lang w:val="en-US" w:bidi="ar-SA"/>
        </w:rPr>
      </w:pPr>
      <w:r>
        <w:rPr>
          <w:rFonts w:hint="eastAsia" w:ascii="黑体" w:hAnsi="黑体" w:eastAsia="黑体" w:cs="仿宋_GB2312"/>
          <w:bCs/>
          <w:snapToGrid w:val="0"/>
          <w:spacing w:val="-6"/>
          <w:sz w:val="32"/>
          <w:szCs w:val="32"/>
          <w:lang w:val="en-US" w:bidi="ar-SA"/>
        </w:rPr>
        <w:t>第五章  投诉处理</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第三十三条 </w:t>
      </w:r>
      <w:r>
        <w:rPr>
          <w:rFonts w:hint="eastAsia" w:ascii="仿宋_GB2312" w:hAnsi="仿宋_GB2312" w:eastAsia="仿宋_GB2312" w:cs="仿宋_GB2312"/>
          <w:snapToGrid w:val="0"/>
          <w:spacing w:val="-6"/>
          <w:sz w:val="32"/>
          <w:szCs w:val="32"/>
          <w:lang w:val="en-US" w:bidi="ar-SA"/>
        </w:rPr>
        <w:t xml:space="preserve">代理机构对有关交易中心服务、机构选取、服务评分和评价的投诉，应在有关业务结束起5个工作日内向新区公共资源交易管理部门提出。 </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工程建设项目招标、投标活动涉及的投诉提出和处理按照《工程建设项目招标投标活动投诉处理办法》（国家七部委第</w:t>
      </w:r>
      <w:r>
        <w:rPr>
          <w:rFonts w:ascii="仿宋_GB2312" w:hAnsi="仿宋_GB2312" w:eastAsia="仿宋_GB2312" w:cs="仿宋_GB2312"/>
          <w:snapToGrid w:val="0"/>
          <w:spacing w:val="-6"/>
          <w:sz w:val="32"/>
          <w:szCs w:val="32"/>
          <w:lang w:val="en-US" w:bidi="ar-SA"/>
        </w:rPr>
        <w:t>11</w:t>
      </w:r>
      <w:r>
        <w:rPr>
          <w:rFonts w:hint="eastAsia" w:ascii="仿宋_GB2312" w:hAnsi="仿宋_GB2312" w:eastAsia="仿宋_GB2312" w:cs="仿宋_GB2312"/>
          <w:snapToGrid w:val="0"/>
          <w:spacing w:val="-6"/>
          <w:sz w:val="32"/>
          <w:szCs w:val="32"/>
          <w:lang w:val="en-US" w:bidi="ar-SA"/>
        </w:rPr>
        <w:t>号令）执行，政府采购的质疑提出和答复按照《政府采购供应商投诉处理办法》</w:t>
      </w:r>
      <w:r>
        <w:rPr>
          <w:rFonts w:ascii="仿宋_GB2312" w:hAnsi="仿宋_GB2312" w:eastAsia="仿宋_GB2312" w:cs="仿宋_GB2312"/>
          <w:snapToGrid w:val="0"/>
          <w:spacing w:val="-6"/>
          <w:sz w:val="32"/>
          <w:szCs w:val="32"/>
          <w:lang w:val="en-US" w:bidi="ar-SA"/>
        </w:rPr>
        <w:t>(</w:t>
      </w:r>
      <w:r>
        <w:rPr>
          <w:rFonts w:hint="eastAsia" w:ascii="仿宋_GB2312" w:hAnsi="仿宋_GB2312" w:eastAsia="仿宋_GB2312" w:cs="仿宋_GB2312"/>
          <w:snapToGrid w:val="0"/>
          <w:spacing w:val="-6"/>
          <w:sz w:val="32"/>
          <w:szCs w:val="32"/>
          <w:lang w:val="en-US" w:bidi="ar-SA"/>
        </w:rPr>
        <w:t>财政部令第</w:t>
      </w:r>
      <w:r>
        <w:rPr>
          <w:rFonts w:ascii="仿宋_GB2312" w:hAnsi="仿宋_GB2312" w:eastAsia="仿宋_GB2312" w:cs="仿宋_GB2312"/>
          <w:snapToGrid w:val="0"/>
          <w:spacing w:val="-6"/>
          <w:sz w:val="32"/>
          <w:szCs w:val="32"/>
          <w:lang w:val="en-US" w:bidi="ar-SA"/>
        </w:rPr>
        <w:t>94</w:t>
      </w:r>
      <w:r>
        <w:rPr>
          <w:rFonts w:hint="eastAsia" w:ascii="仿宋_GB2312" w:hAnsi="仿宋_GB2312" w:eastAsia="仿宋_GB2312" w:cs="仿宋_GB2312"/>
          <w:snapToGrid w:val="0"/>
          <w:spacing w:val="-6"/>
          <w:sz w:val="32"/>
          <w:szCs w:val="32"/>
          <w:lang w:val="en-US" w:bidi="ar-SA"/>
        </w:rPr>
        <w:t>号</w:t>
      </w:r>
      <w:r>
        <w:rPr>
          <w:rFonts w:ascii="仿宋_GB2312" w:hAnsi="仿宋_GB2312" w:eastAsia="仿宋_GB2312" w:cs="仿宋_GB2312"/>
          <w:snapToGrid w:val="0"/>
          <w:spacing w:val="-6"/>
          <w:sz w:val="32"/>
          <w:szCs w:val="32"/>
          <w:lang w:val="en-US" w:bidi="ar-SA"/>
        </w:rPr>
        <w:t>)规定</w:t>
      </w:r>
      <w:r>
        <w:rPr>
          <w:rFonts w:hint="eastAsia" w:ascii="仿宋_GB2312" w:hAnsi="仿宋_GB2312" w:eastAsia="仿宋_GB2312" w:cs="仿宋_GB2312"/>
          <w:snapToGrid w:val="0"/>
          <w:spacing w:val="-6"/>
          <w:sz w:val="32"/>
          <w:szCs w:val="32"/>
          <w:lang w:val="en-US" w:bidi="ar-SA"/>
        </w:rPr>
        <w:t>执行，土地和产权交易类项目，按照《陕西省公共资源交易管理办法》和相关规定办理。</w:t>
      </w:r>
    </w:p>
    <w:p>
      <w:pPr>
        <w:suppressLineNumbers/>
        <w:autoSpaceDE/>
        <w:autoSpaceDN/>
        <w:spacing w:line="560" w:lineRule="exact"/>
        <w:ind w:firstLine="616"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代理机构对新区公共资源交易管理部门、行业监管部门、交易中心、委托单位履职不力及违法违规行为的线索应及时向新区纪委监察部门反映。</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snapToGrid w:val="0"/>
          <w:spacing w:val="-6"/>
          <w:sz w:val="32"/>
          <w:szCs w:val="32"/>
          <w:lang w:val="en-US" w:bidi="ar-SA"/>
        </w:rPr>
        <w:t>第三十四条</w:t>
      </w:r>
      <w:r>
        <w:rPr>
          <w:rFonts w:hint="eastAsia" w:ascii="仿宋_GB2312" w:hAnsi="仿宋_GB2312" w:eastAsia="仿宋_GB2312" w:cs="仿宋_GB2312"/>
          <w:snapToGrid w:val="0"/>
          <w:spacing w:val="-6"/>
          <w:sz w:val="32"/>
          <w:szCs w:val="32"/>
          <w:lang w:val="en-US" w:bidi="ar-SA"/>
        </w:rPr>
        <w:t xml:space="preserve"> 代理机构对有关交易中心服务、机构选取、服务评分和评价的投诉，可提出纸质投诉材料，也可以通过服务平台提交投诉并上传有关资料。投诉书应包括下列内容：</w:t>
      </w:r>
    </w:p>
    <w:p>
      <w:pPr>
        <w:suppressLineNumbers/>
        <w:autoSpaceDE/>
        <w:autoSpaceDN/>
        <w:spacing w:line="560" w:lineRule="exact"/>
        <w:ind w:firstLine="616" w:firstLineChars="200"/>
        <w:jc w:val="both"/>
        <w:outlineLvl w:val="2"/>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（一）投诉人和被投诉人的名称、地址和电话等；</w:t>
      </w:r>
    </w:p>
    <w:p>
      <w:pPr>
        <w:suppressLineNumbers/>
        <w:autoSpaceDE/>
        <w:autoSpaceDN/>
        <w:spacing w:line="560" w:lineRule="exact"/>
        <w:ind w:firstLine="616" w:firstLineChars="200"/>
        <w:jc w:val="both"/>
        <w:outlineLvl w:val="2"/>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（二）具体的投诉事项及事实依据；</w:t>
      </w:r>
    </w:p>
    <w:p>
      <w:pPr>
        <w:suppressLineNumbers/>
        <w:autoSpaceDE/>
        <w:autoSpaceDN/>
        <w:spacing w:line="560" w:lineRule="exact"/>
        <w:ind w:firstLine="616" w:firstLineChars="200"/>
        <w:jc w:val="both"/>
        <w:outlineLvl w:val="2"/>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（三）所认为违反的有关法律法规条款或本办法的条款；</w:t>
      </w:r>
    </w:p>
    <w:p>
      <w:pPr>
        <w:suppressLineNumbers/>
        <w:autoSpaceDE/>
        <w:autoSpaceDN/>
        <w:spacing w:line="560" w:lineRule="exact"/>
        <w:ind w:firstLine="616" w:firstLineChars="200"/>
        <w:jc w:val="both"/>
        <w:outlineLvl w:val="2"/>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（四）相关证据和证明材料，有关材料必须以合法途径取得；</w:t>
      </w:r>
    </w:p>
    <w:p>
      <w:pPr>
        <w:suppressLineNumbers/>
        <w:autoSpaceDE/>
        <w:autoSpaceDN/>
        <w:spacing w:line="560" w:lineRule="exact"/>
        <w:ind w:firstLine="616" w:firstLineChars="200"/>
        <w:jc w:val="both"/>
        <w:outlineLvl w:val="2"/>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（五）提起投诉的日期。</w:t>
      </w:r>
    </w:p>
    <w:p>
      <w:pPr>
        <w:suppressLineNumbers/>
        <w:autoSpaceDE/>
        <w:autoSpaceDN/>
        <w:spacing w:line="560" w:lineRule="exact"/>
        <w:ind w:firstLine="619" w:firstLineChars="200"/>
        <w:jc w:val="both"/>
        <w:outlineLvl w:val="0"/>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第三十五条 </w:t>
      </w:r>
      <w:r>
        <w:rPr>
          <w:rFonts w:hint="eastAsia" w:ascii="仿宋_GB2312" w:hAnsi="仿宋_GB2312" w:eastAsia="仿宋_GB2312" w:cs="仿宋_GB2312"/>
          <w:snapToGrid w:val="0"/>
          <w:spacing w:val="-6"/>
          <w:sz w:val="32"/>
          <w:szCs w:val="32"/>
          <w:lang w:val="en-US" w:bidi="ar-SA"/>
        </w:rPr>
        <w:t>代理机构对有关交易中心服务、机构选取、服务评分和评价的投诉，提出投诉应当符合下列条件：</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（一）投诉人是相关服务采购活动的当事人或相关人；</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（二）投诉书内容符合本办法规定并加盖单位公章；</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（三）在投诉有效期限内提起投诉；</w:t>
      </w:r>
    </w:p>
    <w:p>
      <w:pPr>
        <w:suppressLineNumbers/>
        <w:autoSpaceDE/>
        <w:autoSpaceDN/>
        <w:spacing w:line="560" w:lineRule="exact"/>
        <w:ind w:firstLine="616"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snapToGrid w:val="0"/>
          <w:spacing w:val="-6"/>
          <w:sz w:val="32"/>
          <w:szCs w:val="32"/>
          <w:lang w:val="en-US" w:bidi="ar-SA"/>
        </w:rPr>
        <w:t>（四）同一投诉事项未经相关部门作出投诉处理。</w:t>
      </w:r>
    </w:p>
    <w:p>
      <w:pPr>
        <w:suppressLineNumbers/>
        <w:autoSpaceDE/>
        <w:autoSpaceDN/>
        <w:spacing w:line="560" w:lineRule="exact"/>
        <w:ind w:firstLine="619" w:firstLineChars="200"/>
        <w:jc w:val="both"/>
        <w:outlineLvl w:val="1"/>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第三十六条  </w:t>
      </w:r>
      <w:r>
        <w:rPr>
          <w:rFonts w:hint="eastAsia" w:ascii="仿宋_GB2312" w:hAnsi="仿宋_GB2312" w:eastAsia="仿宋_GB2312" w:cs="仿宋_GB2312"/>
          <w:snapToGrid w:val="0"/>
          <w:spacing w:val="-6"/>
          <w:sz w:val="32"/>
          <w:szCs w:val="32"/>
          <w:lang w:val="en-US" w:bidi="ar-SA"/>
        </w:rPr>
        <w:t xml:space="preserve">投诉人对有关交易中心服务、机构选取、服务评分和评价的投诉，投诉事项涉及违反本办法规定的，由新区公共资源交易管理部门2个工作日内决定是否受理，不予受理的，应当说明理由。 </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第三十七条</w:t>
      </w:r>
      <w:r>
        <w:rPr>
          <w:rFonts w:hint="eastAsia" w:ascii="仿宋_GB2312" w:hAnsi="仿宋_GB2312" w:eastAsia="仿宋_GB2312" w:cs="仿宋_GB2312"/>
          <w:snapToGrid w:val="0"/>
          <w:spacing w:val="-6"/>
          <w:sz w:val="32"/>
          <w:szCs w:val="32"/>
          <w:lang w:val="en-US" w:bidi="ar-SA"/>
        </w:rPr>
        <w:t xml:space="preserve"> 新区公共资源交易管理部门决定受理对有关交易中心服务、机构选取、服务评分和评价的投诉的，应当在作出受理决定后15个工作日内作出处理决定。代理机构对处理决定不服的，有权向新区公共资源交易管理部门的上级部门反映。 </w:t>
      </w:r>
    </w:p>
    <w:p>
      <w:pPr>
        <w:suppressLineNumbers/>
        <w:autoSpaceDE/>
        <w:autoSpaceDN/>
        <w:spacing w:line="560" w:lineRule="exact"/>
        <w:ind w:firstLine="619" w:firstLineChars="200"/>
        <w:jc w:val="both"/>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第三十八条</w:t>
      </w:r>
      <w:r>
        <w:rPr>
          <w:rFonts w:hint="eastAsia" w:ascii="仿宋_GB2312" w:hAnsi="仿宋_GB2312" w:eastAsia="仿宋_GB2312" w:cs="仿宋_GB2312"/>
          <w:snapToGrid w:val="0"/>
          <w:spacing w:val="-6"/>
          <w:sz w:val="32"/>
          <w:szCs w:val="32"/>
          <w:lang w:val="en-US" w:bidi="ar-SA"/>
        </w:rPr>
        <w:t xml:space="preserve"> 因应对严重自然灾害和其他不可抗力事件所实施的代理服务应急采购、涉及安全生产领域事故紧急调查处理所实施的代理服务应急采购、涉及国家安全和秘密的代理服务采购，不适用本办法。</w:t>
      </w:r>
    </w:p>
    <w:p>
      <w:pPr>
        <w:suppressLineNumbers/>
        <w:autoSpaceDE/>
        <w:autoSpaceDN/>
        <w:spacing w:line="560" w:lineRule="exact"/>
        <w:ind w:firstLine="619" w:firstLineChars="200"/>
        <w:jc w:val="both"/>
        <w:outlineLvl w:val="0"/>
        <w:rPr>
          <w:rFonts w:ascii="仿宋_GB2312" w:hAnsi="仿宋_GB2312" w:eastAsia="仿宋_GB2312" w:cs="仿宋_GB2312"/>
          <w:snapToGrid w:val="0"/>
          <w:spacing w:val="-6"/>
          <w:sz w:val="32"/>
          <w:szCs w:val="32"/>
          <w:lang w:val="en-US" w:bidi="ar-SA"/>
        </w:rPr>
      </w:pPr>
      <w:r>
        <w:rPr>
          <w:rFonts w:hint="eastAsia" w:ascii="仿宋_GB2312" w:hAnsi="仿宋_GB2312" w:eastAsia="仿宋_GB2312" w:cs="仿宋_GB2312"/>
          <w:b/>
          <w:bCs/>
          <w:snapToGrid w:val="0"/>
          <w:spacing w:val="-6"/>
          <w:sz w:val="32"/>
          <w:szCs w:val="32"/>
          <w:lang w:val="en-US" w:bidi="ar-SA"/>
        </w:rPr>
        <w:t xml:space="preserve">第三十九条 </w:t>
      </w:r>
      <w:r>
        <w:rPr>
          <w:rFonts w:hint="eastAsia" w:ascii="仿宋_GB2312" w:hAnsi="仿宋_GB2312" w:eastAsia="仿宋_GB2312" w:cs="仿宋_GB2312"/>
          <w:snapToGrid w:val="0"/>
          <w:spacing w:val="-6"/>
          <w:sz w:val="32"/>
          <w:szCs w:val="32"/>
          <w:lang w:val="en-US" w:bidi="ar-SA"/>
        </w:rPr>
        <w:t>本办法2020年5月1日起施行，有效期2年。</w:t>
      </w: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p>
      <w:pPr>
        <w:suppressLineNumbers/>
        <w:autoSpaceDE/>
        <w:autoSpaceDN/>
        <w:spacing w:line="560" w:lineRule="exact"/>
        <w:ind w:firstLine="616" w:firstLineChars="200"/>
        <w:jc w:val="both"/>
        <w:outlineLvl w:val="0"/>
        <w:rPr>
          <w:rFonts w:ascii="仿宋_GB2312" w:hAnsi="仿宋_GB2312" w:eastAsia="仿宋_GB2312" w:cs="仿宋_GB2312"/>
          <w:snapToGrid w:val="0"/>
          <w:spacing w:val="-6"/>
          <w:sz w:val="32"/>
          <w:szCs w:val="32"/>
          <w:lang w:val="en-US" w:bidi="ar-SA"/>
        </w:rPr>
      </w:pPr>
    </w:p>
    <w:tbl>
      <w:tblPr>
        <w:tblStyle w:val="8"/>
        <w:tblW w:w="10473" w:type="dxa"/>
        <w:jc w:val="center"/>
        <w:tblLayout w:type="fixed"/>
        <w:tblCellMar>
          <w:top w:w="0" w:type="dxa"/>
          <w:left w:w="108" w:type="dxa"/>
          <w:bottom w:w="0" w:type="dxa"/>
          <w:right w:w="108" w:type="dxa"/>
        </w:tblCellMar>
      </w:tblPr>
      <w:tblGrid>
        <w:gridCol w:w="657"/>
        <w:gridCol w:w="9"/>
        <w:gridCol w:w="6656"/>
        <w:gridCol w:w="9"/>
        <w:gridCol w:w="343"/>
        <w:gridCol w:w="410"/>
        <w:gridCol w:w="9"/>
        <w:gridCol w:w="274"/>
        <w:gridCol w:w="1581"/>
        <w:gridCol w:w="525"/>
      </w:tblGrid>
      <w:tr>
        <w:tblPrEx>
          <w:tblCellMar>
            <w:top w:w="0" w:type="dxa"/>
            <w:left w:w="108" w:type="dxa"/>
            <w:bottom w:w="0" w:type="dxa"/>
            <w:right w:w="108" w:type="dxa"/>
          </w:tblCellMar>
        </w:tblPrEx>
        <w:trPr>
          <w:trHeight w:val="1048" w:hRule="atLeast"/>
          <w:jc w:val="center"/>
        </w:trPr>
        <w:tc>
          <w:tcPr>
            <w:tcW w:w="10473" w:type="dxa"/>
            <w:gridSpan w:val="10"/>
            <w:tcBorders>
              <w:top w:val="nil"/>
              <w:left w:val="nil"/>
              <w:bottom w:val="nil"/>
              <w:right w:val="nil"/>
            </w:tcBorders>
            <w:shd w:val="clear" w:color="auto" w:fill="auto"/>
            <w:vAlign w:val="center"/>
          </w:tcPr>
          <w:p>
            <w:pPr>
              <w:widowControl/>
              <w:autoSpaceDE/>
              <w:autoSpaceDN/>
              <w:jc w:val="both"/>
              <w:rPr>
                <w:rFonts w:hint="eastAsia" w:ascii="方正小标宋简体" w:hAnsi="宋体" w:eastAsia="方正小标宋简体" w:cs="宋体"/>
                <w:color w:val="000000"/>
                <w:sz w:val="32"/>
                <w:szCs w:val="28"/>
                <w:lang w:val="en-US" w:bidi="ar-SA"/>
              </w:rPr>
            </w:pPr>
          </w:p>
          <w:p>
            <w:pPr>
              <w:widowControl/>
              <w:autoSpaceDE/>
              <w:autoSpaceDN/>
              <w:jc w:val="center"/>
              <w:rPr>
                <w:rFonts w:ascii="方正小标宋简体" w:hAnsi="宋体" w:eastAsia="方正小标宋简体" w:cs="宋体"/>
                <w:color w:val="000000"/>
                <w:sz w:val="28"/>
                <w:szCs w:val="28"/>
                <w:lang w:val="en-US" w:bidi="ar-SA"/>
              </w:rPr>
            </w:pPr>
            <w:r>
              <w:rPr>
                <w:rFonts w:hint="eastAsia" w:ascii="方正小标宋简体" w:hAnsi="宋体" w:eastAsia="方正小标宋简体" w:cs="宋体"/>
                <w:color w:val="000000"/>
                <w:sz w:val="32"/>
                <w:szCs w:val="28"/>
                <w:lang w:val="en-US" w:bidi="ar-SA"/>
              </w:rPr>
              <w:t>西咸新区公共资源交易代理服务机构服务行为扣分表</w:t>
            </w:r>
            <w:r>
              <w:rPr>
                <w:rFonts w:hint="eastAsia" w:ascii="方正小标宋简体" w:hAnsi="宋体" w:eastAsia="方正小标宋简体" w:cs="宋体"/>
                <w:color w:val="000000"/>
                <w:sz w:val="32"/>
                <w:szCs w:val="28"/>
                <w:lang w:val="en-US" w:bidi="ar-SA"/>
              </w:rPr>
              <w:br w:type="textWrapping"/>
            </w:r>
            <w:r>
              <w:rPr>
                <w:rFonts w:hint="eastAsia" w:ascii="方正小标宋简体" w:hAnsi="宋体" w:eastAsia="方正小标宋简体" w:cs="宋体"/>
                <w:color w:val="000000"/>
                <w:sz w:val="32"/>
                <w:szCs w:val="28"/>
                <w:lang w:val="en-US" w:bidi="ar-SA"/>
              </w:rPr>
              <w:t>（采购类代理机构）</w:t>
            </w:r>
          </w:p>
        </w:tc>
      </w:tr>
      <w:tr>
        <w:tblPrEx>
          <w:tblCellMar>
            <w:top w:w="0" w:type="dxa"/>
            <w:left w:w="108" w:type="dxa"/>
            <w:bottom w:w="0" w:type="dxa"/>
            <w:right w:w="108" w:type="dxa"/>
          </w:tblCellMar>
        </w:tblPrEx>
        <w:trPr>
          <w:trHeight w:val="426" w:hRule="atLeast"/>
          <w:jc w:val="center"/>
        </w:trPr>
        <w:tc>
          <w:tcPr>
            <w:tcW w:w="6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color w:val="000000"/>
                <w:szCs w:val="20"/>
                <w:lang w:val="en-US" w:bidi="ar-SA"/>
              </w:rPr>
            </w:pPr>
            <w:r>
              <w:rPr>
                <w:rFonts w:hint="eastAsia" w:ascii="方正小标宋简体" w:hAnsi="宋体" w:eastAsia="方正小标宋简体" w:cs="宋体"/>
                <w:color w:val="000000"/>
                <w:szCs w:val="20"/>
                <w:lang w:val="en-US" w:bidi="ar-SA"/>
              </w:rPr>
              <w:t>序号</w:t>
            </w:r>
          </w:p>
        </w:tc>
        <w:tc>
          <w:tcPr>
            <w:tcW w:w="66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color w:val="000000"/>
                <w:szCs w:val="20"/>
                <w:lang w:val="en-US" w:bidi="ar-SA"/>
              </w:rPr>
            </w:pPr>
            <w:r>
              <w:rPr>
                <w:rFonts w:hint="eastAsia" w:ascii="方正小标宋简体" w:hAnsi="宋体" w:eastAsia="方正小标宋简体" w:cs="宋体"/>
                <w:color w:val="000000"/>
                <w:szCs w:val="20"/>
                <w:lang w:val="en-US" w:bidi="ar-SA"/>
              </w:rPr>
              <w:t>评价内容</w:t>
            </w:r>
          </w:p>
        </w:tc>
        <w:tc>
          <w:tcPr>
            <w:tcW w:w="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color w:val="000000"/>
                <w:szCs w:val="20"/>
                <w:lang w:val="en-US" w:bidi="ar-SA"/>
              </w:rPr>
            </w:pPr>
            <w:r>
              <w:rPr>
                <w:rFonts w:hint="eastAsia" w:ascii="方正小标宋简体" w:hAnsi="宋体" w:eastAsia="方正小标宋简体" w:cs="宋体"/>
                <w:color w:val="000000"/>
                <w:szCs w:val="20"/>
                <w:lang w:val="en-US" w:bidi="ar-SA"/>
              </w:rPr>
              <w:t>分值</w:t>
            </w:r>
          </w:p>
        </w:tc>
        <w:tc>
          <w:tcPr>
            <w:tcW w:w="238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方正小标宋简体" w:hAnsi="宋体" w:eastAsia="方正小标宋简体" w:cs="宋体"/>
                <w:color w:val="000000"/>
                <w:szCs w:val="20"/>
                <w:lang w:val="en-US" w:bidi="ar-SA"/>
              </w:rPr>
            </w:pPr>
            <w:r>
              <w:rPr>
                <w:rFonts w:hint="eastAsia" w:ascii="方正小标宋简体" w:hAnsi="宋体" w:eastAsia="方正小标宋简体" w:cs="宋体"/>
                <w:color w:val="000000"/>
                <w:szCs w:val="20"/>
                <w:lang w:val="en-US" w:bidi="ar-SA"/>
              </w:rPr>
              <w:t>扣分单位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项目名称、标段名称、项目内容、标段合同估算价、发包方式、时间等关键内容填写有误，造成交易时间推迟或系统无法正常进行的。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公告内容与资格预审文件或采购文件前后矛盾的。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不按国家有关文件规定设定投标人和项目负责人的资质、资格条件的。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未按规定以特定行政区域或者特定行业的业绩、奖项作为加分条件或者中标条件的。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限定或者指定特定的专利、商标、品牌、原产地或者供应商的。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在两个以上法定媒介发布的同一项目的公告内容不一致，或网上发布的公告与书面公告内容不一致的。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7</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公告、中标公示等时间未按相关法律规定发布的。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8</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未按规定发送资格预审结果通知的。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9</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资格审查活动未按公告、资格预审文件进行的。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资格预审文件编制不严谨、条款缺失、前后条款矛盾的。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因采购文件、工程量清单、答疑、补充说明等资料编制不严谨，前后条款互相矛盾，导致开评标无法进行的。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采购文件中资格审查条件、评标办法内容与公告内容不一致的。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采购文件与公告、资审文件相关联的事项前后条款实质性内容不一致的。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采购文件与备案的采购文件不一致的。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未执行采购文件规定的开标程序及相关要求。</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未执行采购文件规定的评标程序及评标要求的。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17</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代理机构人员没有如实记录投标文件的送达时间和密封情况。</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18</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在投标截止时间之后接受投标文件的。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19</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故意拖延时间影响开评标正常进行的。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拒绝接受投诉调查的。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不配合投诉处理调查，在被调查时存在弄虚作假行为的。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行业主管部门认为代理机构有其他需扣分的行为的。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财政部门/企业监督部门</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提供虚假材料或隐瞒项目信息进场交易的。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不按交易平台要求上传受理资料的。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代理机构人员未遵守公共资源交易中心开标区管理规定的。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代理机构人员携带、隐藏通讯工具进入评标现场的。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27</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评标过程中发表主观意见影响、误导评委评标，或擅自进入其他评标现场干扰或错误引导评委评标的。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28</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在评标过程中泄露评标信息的。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29</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代理机构人员未遵守公共资源交易中心评标区管理规定的。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30</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代理机构有其他需扣分的行为的。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交易中心</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服务过程安排混乱、对委托单位提出的需求不能及时响应。</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未一次性告知委托单位需提供的资料；未及时沟通项目进度和实施过程中问题的。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未及时与委托单位接洽项目并提供业务支持与帮助；未及时推动项目进场并向委托单位反馈。</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10</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未按照委托单位的合理要求编制公告及文件的。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未积极协助委托单位办理中标通知书备案、保证金退还等工作的。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在项目结束后，不主动向委托单位移交项目相关资料的。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5</w:t>
            </w:r>
          </w:p>
        </w:tc>
        <w:tc>
          <w:tcPr>
            <w:tcW w:w="2380"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618" w:hRule="exact"/>
          <w:jc w:val="center"/>
        </w:trPr>
        <w:tc>
          <w:tcPr>
            <w:tcW w:w="666" w:type="dxa"/>
            <w:gridSpan w:val="2"/>
            <w:tcBorders>
              <w:top w:val="single" w:color="auto" w:sz="4" w:space="0"/>
              <w:left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37</w:t>
            </w:r>
          </w:p>
        </w:tc>
        <w:tc>
          <w:tcPr>
            <w:tcW w:w="6665" w:type="dxa"/>
            <w:gridSpan w:val="2"/>
            <w:tcBorders>
              <w:top w:val="single" w:color="auto" w:sz="4" w:space="0"/>
              <w:left w:val="nil"/>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存在因服务质量问题或代理工作失误给项目进度等方面造成影响，并造成采购人损失的。</w:t>
            </w:r>
          </w:p>
        </w:tc>
        <w:tc>
          <w:tcPr>
            <w:tcW w:w="762" w:type="dxa"/>
            <w:gridSpan w:val="3"/>
            <w:tcBorders>
              <w:top w:val="single" w:color="auto" w:sz="4" w:space="0"/>
              <w:left w:val="nil"/>
              <w:right w:val="single" w:color="auto" w:sz="4" w:space="0"/>
            </w:tcBorders>
            <w:shd w:val="clear" w:color="auto" w:fill="auto"/>
            <w:noWrap/>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15</w:t>
            </w:r>
          </w:p>
        </w:tc>
        <w:tc>
          <w:tcPr>
            <w:tcW w:w="2380" w:type="dxa"/>
            <w:gridSpan w:val="3"/>
            <w:tcBorders>
              <w:top w:val="single" w:color="auto" w:sz="4" w:space="0"/>
              <w:left w:val="nil"/>
              <w:right w:val="single" w:color="auto" w:sz="4" w:space="0"/>
            </w:tcBorders>
            <w:shd w:val="clear" w:color="auto" w:fill="auto"/>
            <w:vAlign w:val="center"/>
          </w:tcPr>
          <w:p>
            <w:pPr>
              <w:widowControl/>
              <w:autoSpaceDE/>
              <w:autoSpaceDN/>
              <w:jc w:val="center"/>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委托单位</w:t>
            </w:r>
          </w:p>
        </w:tc>
      </w:tr>
      <w:tr>
        <w:tblPrEx>
          <w:tblCellMar>
            <w:top w:w="0" w:type="dxa"/>
            <w:left w:w="108" w:type="dxa"/>
            <w:bottom w:w="0" w:type="dxa"/>
            <w:right w:w="108" w:type="dxa"/>
          </w:tblCellMar>
        </w:tblPrEx>
        <w:trPr>
          <w:trHeight w:val="1096" w:hRule="atLeast"/>
          <w:jc w:val="center"/>
        </w:trPr>
        <w:tc>
          <w:tcPr>
            <w:tcW w:w="104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color w:val="000000"/>
                <w:sz w:val="20"/>
                <w:szCs w:val="18"/>
                <w:lang w:val="en-US" w:bidi="ar-SA"/>
              </w:rPr>
            </w:pPr>
            <w:r>
              <w:rPr>
                <w:rFonts w:hint="eastAsia" w:ascii="仿宋_GB2312" w:hAnsi="宋体" w:eastAsia="仿宋_GB2312" w:cs="宋体"/>
                <w:color w:val="000000"/>
                <w:sz w:val="20"/>
                <w:szCs w:val="18"/>
                <w:lang w:val="en-US" w:bidi="ar-SA"/>
              </w:rPr>
              <w:t>说明：1、扣分单位根据代理机构在服务过程中的实际行为进行扣分，扣分当即录入系统平台。</w:t>
            </w:r>
            <w:r>
              <w:rPr>
                <w:rFonts w:hint="eastAsia" w:ascii="仿宋_GB2312" w:hAnsi="宋体" w:eastAsia="仿宋_GB2312" w:cs="宋体"/>
                <w:color w:val="000000"/>
                <w:sz w:val="20"/>
                <w:szCs w:val="18"/>
                <w:lang w:val="en-US" w:bidi="ar-SA"/>
              </w:rPr>
              <w:br w:type="textWrapping"/>
            </w:r>
            <w:r>
              <w:rPr>
                <w:rFonts w:hint="eastAsia" w:ascii="仿宋_GB2312" w:hAnsi="宋体" w:eastAsia="仿宋_GB2312" w:cs="宋体"/>
                <w:color w:val="000000"/>
                <w:sz w:val="20"/>
                <w:szCs w:val="18"/>
                <w:lang w:val="en-US" w:bidi="ar-SA"/>
              </w:rPr>
              <w:t xml:space="preserve">      2、扣分实行“一事一评”，每个项目基准分100分，所有项目扣分后的平均值为代理机构服务评分。</w:t>
            </w:r>
            <w:r>
              <w:rPr>
                <w:rFonts w:hint="eastAsia" w:ascii="仿宋_GB2312" w:hAnsi="宋体" w:eastAsia="仿宋_GB2312" w:cs="宋体"/>
                <w:color w:val="000000"/>
                <w:sz w:val="20"/>
                <w:szCs w:val="18"/>
                <w:lang w:val="en-US" w:bidi="ar-SA"/>
              </w:rPr>
              <w:br w:type="textWrapping"/>
            </w:r>
            <w:r>
              <w:rPr>
                <w:rFonts w:hint="eastAsia" w:ascii="仿宋_GB2312" w:hAnsi="宋体" w:eastAsia="仿宋_GB2312" w:cs="宋体"/>
                <w:color w:val="000000"/>
                <w:sz w:val="20"/>
                <w:szCs w:val="18"/>
                <w:lang w:val="en-US" w:bidi="ar-SA"/>
              </w:rPr>
              <w:t xml:space="preserve">      3、若财政部门不进行扣分评价时，可由委托单位（采购人）代行评价主体责任。</w:t>
            </w:r>
          </w:p>
        </w:tc>
      </w:tr>
      <w:tr>
        <w:tblPrEx>
          <w:tblCellMar>
            <w:top w:w="0" w:type="dxa"/>
            <w:left w:w="108" w:type="dxa"/>
            <w:bottom w:w="0" w:type="dxa"/>
            <w:right w:w="108" w:type="dxa"/>
          </w:tblCellMar>
        </w:tblPrEx>
        <w:trPr>
          <w:gridAfter w:val="1"/>
          <w:wAfter w:w="525" w:type="dxa"/>
          <w:trHeight w:val="1818" w:hRule="atLeast"/>
          <w:jc w:val="center"/>
        </w:trPr>
        <w:tc>
          <w:tcPr>
            <w:tcW w:w="9948" w:type="dxa"/>
            <w:gridSpan w:val="9"/>
            <w:tcBorders>
              <w:top w:val="nil"/>
              <w:left w:val="nil"/>
              <w:bottom w:val="nil"/>
              <w:right w:val="nil"/>
            </w:tcBorders>
            <w:shd w:val="clear" w:color="auto" w:fill="auto"/>
            <w:vAlign w:val="center"/>
          </w:tcPr>
          <w:p>
            <w:pPr>
              <w:widowControl/>
              <w:autoSpaceDE/>
              <w:autoSpaceDN/>
              <w:jc w:val="center"/>
              <w:rPr>
                <w:rFonts w:ascii="方正小标宋简体" w:hAnsi="宋体" w:eastAsia="方正小标宋简体" w:cs="宋体"/>
                <w:sz w:val="28"/>
                <w:szCs w:val="28"/>
                <w:lang w:val="en-US" w:bidi="ar-SA"/>
              </w:rPr>
            </w:pPr>
            <w:r>
              <w:rPr>
                <w:rFonts w:hint="eastAsia" w:ascii="方正小标宋简体" w:hAnsi="宋体" w:eastAsia="方正小标宋简体" w:cs="宋体"/>
                <w:sz w:val="28"/>
                <w:szCs w:val="28"/>
                <w:lang w:val="en-US" w:bidi="ar-SA"/>
              </w:rPr>
              <w:t>西咸新区公共资源交易代理服务机构服务行为扣分表</w:t>
            </w:r>
            <w:r>
              <w:rPr>
                <w:rFonts w:hint="eastAsia" w:ascii="方正小标宋简体" w:hAnsi="宋体" w:eastAsia="方正小标宋简体" w:cs="宋体"/>
                <w:sz w:val="28"/>
                <w:szCs w:val="28"/>
                <w:lang w:val="en-US" w:bidi="ar-SA"/>
              </w:rPr>
              <w:br w:type="textWrapping"/>
            </w:r>
            <w:r>
              <w:rPr>
                <w:rFonts w:hint="eastAsia" w:ascii="方正小标宋简体" w:hAnsi="宋体" w:eastAsia="方正小标宋简体" w:cs="宋体"/>
                <w:sz w:val="28"/>
                <w:szCs w:val="28"/>
                <w:lang w:val="en-US" w:bidi="ar-SA"/>
              </w:rPr>
              <w:t>（工程建设类招标代理机构）</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序号</w:t>
            </w:r>
          </w:p>
        </w:tc>
        <w:tc>
          <w:tcPr>
            <w:tcW w:w="70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评价内容</w:t>
            </w:r>
          </w:p>
        </w:tc>
        <w:tc>
          <w:tcPr>
            <w:tcW w:w="6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分值</w:t>
            </w:r>
          </w:p>
        </w:tc>
        <w:tc>
          <w:tcPr>
            <w:tcW w:w="158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扣分单位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项目名称、标段名称、项目内容、标段合同估算价、发包方式、时间等关键内容填写有误，造成交易时间推迟或系统无法正常进行的。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公告内容与资格预审文件或招标文件前后矛盾的。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不按国家有关文件规定设定投标人和项目负责人的资质、资格条件的。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4</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未按规定以特定行政区域或者特定行业的业绩、奖项作为加分条件或者中标条件的。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限定或者指定特定的专利、商标、品牌、原产地或者供应商的。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6</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在两个以上法定媒介发布的同一项目的公告内容不一致，或网上发布的公告与书面公告内容不一致的。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7</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公告、中标公示等时间未按相关法律规定发布的。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8</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未按规定发送资格预审结果通知的。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9</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资格审查活动未按公告、资格预审文件进行的。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资格预审文件编制不严谨、条款缺失、前后条款矛盾的。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11</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因招标文件、工程量清单、答疑、补充说明等资料编制不严谨，前后条款互相矛盾，导致开评标无法进行的。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12</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招标文件中资格审查条件、评标办法内容与公告内容不一致的。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13</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招标文件与公告、资审文件相关联的事项前后条款实质性内容不一致的。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14</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招标文件与备案的招标文件不一致的。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15</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未执行招标文件规定的开标程序及相关要求。</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16</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未执行招标文件规定的评标程序及评标要求的。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17</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代理机构人员没有如实记录投标文件的送达时间和密封情况。</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18</w:t>
            </w:r>
          </w:p>
        </w:tc>
        <w:tc>
          <w:tcPr>
            <w:tcW w:w="7017" w:type="dxa"/>
            <w:gridSpan w:val="4"/>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在投标截止时间之后接受投标文件的。</w:t>
            </w:r>
          </w:p>
        </w:tc>
        <w:tc>
          <w:tcPr>
            <w:tcW w:w="693"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58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19</w:t>
            </w:r>
          </w:p>
        </w:tc>
        <w:tc>
          <w:tcPr>
            <w:tcW w:w="6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故意拖延时间影响开评标正常进行的。</w:t>
            </w:r>
          </w:p>
        </w:tc>
        <w:tc>
          <w:tcPr>
            <w:tcW w:w="76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6665"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拒绝接受投诉调查的。</w:t>
            </w:r>
          </w:p>
        </w:tc>
        <w:tc>
          <w:tcPr>
            <w:tcW w:w="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不配合投诉处理调查，在被调查时存在弄虚作假行为的。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行业主管部门认为代理机构有其他需扣分的行为的。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提供虚假材料或隐瞒项目信息进场交易的。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不按交易平台要求上传受理资料的。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代理机构人员未遵守公共资源交易中心开标区管理规定的。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代理机构人员携带、隐藏通讯工具进入评标现场的。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27</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评标过程中发表主观意见影响、误导评委评标，或擅自进入其他评标现场干扰或错误引导评委评标的。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28</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在评标过程中泄露评标信息的。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29</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代理机构人员未遵守公共资源交易中心评标区管理规定的。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30</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代理机构有其他需扣分的行为的。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31</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服务过程安排混乱、对委托单位提出的需求不能及时响应。</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32</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未一次性告知委托单位需提供的资料；未及时沟通项目进度和实施过程中问题的。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33</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未及时与委托单位接洽项目并提供业务支持与帮助；未及时推动项目进场并向委托单位反馈。</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34</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未按照委托单位的合理要求编制公告及文件的。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35</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未积极协助委托单位办理中标通知书备案、保证金退还等工作的。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36</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在项目结束后，不主动向委托单位移交项目相关资料的。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37</w:t>
            </w:r>
          </w:p>
        </w:tc>
        <w:tc>
          <w:tcPr>
            <w:tcW w:w="6665" w:type="dxa"/>
            <w:gridSpan w:val="2"/>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存在因服务质量问题或代理工作失误给项目进度、投资等方面造成影响，并造成招标人损失的。</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15</w:t>
            </w:r>
          </w:p>
        </w:tc>
        <w:tc>
          <w:tcPr>
            <w:tcW w:w="186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gridAfter w:val="1"/>
          <w:wAfter w:w="525" w:type="dxa"/>
          <w:trHeight w:val="578" w:hRule="atLeast"/>
          <w:jc w:val="center"/>
        </w:trPr>
        <w:tc>
          <w:tcPr>
            <w:tcW w:w="994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说明：1、扣分单位根据代理机构在服务过程中的实际行为进行扣分，扣分当即录入系统平台。</w:t>
            </w:r>
            <w:r>
              <w:rPr>
                <w:rFonts w:hint="eastAsia" w:ascii="仿宋_GB2312" w:hAnsi="宋体" w:eastAsia="仿宋_GB2312" w:cs="宋体"/>
                <w:sz w:val="20"/>
                <w:szCs w:val="20"/>
                <w:lang w:val="en-US" w:bidi="ar-SA"/>
              </w:rPr>
              <w:br w:type="textWrapping"/>
            </w:r>
            <w:r>
              <w:rPr>
                <w:rFonts w:hint="eastAsia" w:ascii="仿宋_GB2312" w:hAnsi="宋体" w:eastAsia="仿宋_GB2312" w:cs="宋体"/>
                <w:sz w:val="20"/>
                <w:szCs w:val="20"/>
                <w:lang w:val="en-US" w:bidi="ar-SA"/>
              </w:rPr>
              <w:t xml:space="preserve">      2、扣分实行“一事一评”，每个项目基准分100分，所有项目扣分后的平均值为代理机构服务评分。</w:t>
            </w:r>
          </w:p>
        </w:tc>
      </w:tr>
    </w:tbl>
    <w:p>
      <w:pPr>
        <w:rPr>
          <w:rFonts w:hint="eastAsia" w:eastAsiaTheme="minorEastAsia"/>
        </w:rPr>
      </w:pPr>
    </w:p>
    <w:p>
      <w:pPr>
        <w:rPr>
          <w:rFonts w:hint="eastAsia" w:eastAsiaTheme="minorEastAsia"/>
        </w:rPr>
      </w:pPr>
    </w:p>
    <w:p>
      <w:pPr>
        <w:rPr>
          <w:rFonts w:hint="eastAsia" w:eastAsiaTheme="minorEastAsia"/>
        </w:rPr>
      </w:pPr>
    </w:p>
    <w:p>
      <w:pPr>
        <w:widowControl/>
        <w:autoSpaceDE/>
        <w:autoSpaceDN/>
        <w:jc w:val="center"/>
        <w:rPr>
          <w:rFonts w:hint="eastAsia" w:ascii="方正小标宋简体" w:hAnsi="宋体" w:eastAsia="方正小标宋简体" w:cs="宋体"/>
          <w:sz w:val="28"/>
          <w:szCs w:val="28"/>
          <w:lang w:val="en-US" w:bidi="ar-SA"/>
        </w:rPr>
      </w:pPr>
      <w:r>
        <w:rPr>
          <w:rFonts w:hint="eastAsia" w:ascii="方正小标宋简体" w:hAnsi="宋体" w:eastAsia="方正小标宋简体" w:cs="宋体"/>
          <w:sz w:val="28"/>
          <w:szCs w:val="28"/>
          <w:lang w:val="en-US" w:bidi="ar-SA"/>
        </w:rPr>
        <w:t>西咸新区公共资源交易代理服务机构服务行为评价扣分表</w:t>
      </w:r>
      <w:r>
        <w:rPr>
          <w:rFonts w:hint="eastAsia" w:ascii="方正小标宋简体" w:hAnsi="宋体" w:eastAsia="方正小标宋简体" w:cs="宋体"/>
          <w:sz w:val="28"/>
          <w:szCs w:val="28"/>
          <w:lang w:val="en-US" w:bidi="ar-SA"/>
        </w:rPr>
        <w:br w:type="textWrapping"/>
      </w:r>
      <w:r>
        <w:rPr>
          <w:rFonts w:hint="eastAsia" w:ascii="方正小标宋简体" w:hAnsi="宋体" w:eastAsia="方正小标宋简体" w:cs="宋体"/>
          <w:sz w:val="28"/>
          <w:szCs w:val="28"/>
          <w:lang w:val="en-US" w:bidi="ar-SA"/>
        </w:rPr>
        <w:t>（拍卖服务）</w:t>
      </w:r>
    </w:p>
    <w:p>
      <w:pPr>
        <w:rPr>
          <w:rFonts w:hint="eastAsia" w:eastAsiaTheme="minorEastAsia"/>
        </w:rPr>
      </w:pPr>
    </w:p>
    <w:tbl>
      <w:tblPr>
        <w:tblStyle w:val="8"/>
        <w:tblW w:w="8879" w:type="dxa"/>
        <w:tblInd w:w="0" w:type="dxa"/>
        <w:tblLayout w:type="fixed"/>
        <w:tblCellMar>
          <w:top w:w="0" w:type="dxa"/>
          <w:left w:w="108" w:type="dxa"/>
          <w:bottom w:w="0" w:type="dxa"/>
          <w:right w:w="108" w:type="dxa"/>
        </w:tblCellMar>
      </w:tblPr>
      <w:tblGrid>
        <w:gridCol w:w="991"/>
        <w:gridCol w:w="5704"/>
        <w:gridCol w:w="583"/>
        <w:gridCol w:w="1601"/>
      </w:tblGrid>
      <w:tr>
        <w:tblPrEx>
          <w:tblCellMar>
            <w:top w:w="0" w:type="dxa"/>
            <w:left w:w="108" w:type="dxa"/>
            <w:bottom w:w="0" w:type="dxa"/>
            <w:right w:w="108" w:type="dxa"/>
          </w:tblCellMar>
        </w:tblPrEx>
        <w:trPr>
          <w:trHeight w:val="567"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序号</w:t>
            </w:r>
          </w:p>
        </w:tc>
        <w:tc>
          <w:tcPr>
            <w:tcW w:w="5704"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评价内容</w:t>
            </w:r>
          </w:p>
        </w:tc>
        <w:tc>
          <w:tcPr>
            <w:tcW w:w="583"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分值</w:t>
            </w:r>
          </w:p>
        </w:tc>
        <w:tc>
          <w:tcPr>
            <w:tcW w:w="1601"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rFonts w:ascii="方正小标宋简体" w:hAnsi="宋体" w:eastAsia="方正小标宋简体" w:cs="宋体"/>
                <w:sz w:val="20"/>
                <w:szCs w:val="20"/>
                <w:lang w:val="en-US" w:bidi="ar-SA"/>
              </w:rPr>
            </w:pPr>
            <w:r>
              <w:rPr>
                <w:rFonts w:hint="eastAsia" w:ascii="方正小标宋简体" w:hAnsi="宋体" w:eastAsia="方正小标宋简体" w:cs="宋体"/>
                <w:sz w:val="20"/>
                <w:szCs w:val="20"/>
                <w:lang w:val="en-US" w:bidi="ar-SA"/>
              </w:rPr>
              <w:t>扣分部门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未按规定在指定媒体、规定时间发布公告的。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标的展示时间少于规定时间的。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3</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由于拍卖机构原因，如编制的拍卖文件、说明和拍卖规则等出现差错导致拍卖活动无法按期进行的。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4</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因对意向竞买人的咨询、看样、报名等服务不到位导致投诉的。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未按规定接受意向竞买人报名、未按规定进行资格审核的。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6</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随意更换备案的项目组人员或使用不符合相关规定人员的。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7</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故意泄露拍卖报名信息的。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8</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以不正当手段侵犯他人的商业秘密的。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9</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未按相关流程组织拍卖活动的。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行业监督部门认为其他需要扣分行为的。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行业监督部门</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11</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提供虚假材料或隐瞒项目信息进场交易的。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20</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12</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交易中心认为拍卖机构有其他需扣分的行为的。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交易中心</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13</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服务过程安排混乱、对委托单位提出的需求不能及时响应的。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14</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未一次性告知委托单位需提供的资料；未及时沟通项目进度和实施过程中的问题的。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15</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未及时与委托单位接洽项目并提供业务支持与帮助，或未及时推动项目进场并向委托单位反馈的。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16</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未积极协助委托单位办理出让、转让等工作的。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10</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17</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在项目结束后，不主动向委托单位移交项目的相关资料的。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5</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99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18</w:t>
            </w:r>
          </w:p>
        </w:tc>
        <w:tc>
          <w:tcPr>
            <w:tcW w:w="5704" w:type="dxa"/>
            <w:tcBorders>
              <w:top w:val="nil"/>
              <w:left w:val="nil"/>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存在因服务质量问题使委托单位权益受损的。</w:t>
            </w:r>
          </w:p>
        </w:tc>
        <w:tc>
          <w:tcPr>
            <w:tcW w:w="58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15</w:t>
            </w:r>
          </w:p>
        </w:tc>
        <w:tc>
          <w:tcPr>
            <w:tcW w:w="1601"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委托单位</w:t>
            </w:r>
          </w:p>
        </w:tc>
      </w:tr>
      <w:tr>
        <w:tblPrEx>
          <w:tblCellMar>
            <w:top w:w="0" w:type="dxa"/>
            <w:left w:w="108" w:type="dxa"/>
            <w:bottom w:w="0" w:type="dxa"/>
            <w:right w:w="108" w:type="dxa"/>
          </w:tblCellMar>
        </w:tblPrEx>
        <w:trPr>
          <w:trHeight w:val="567" w:hRule="atLeast"/>
        </w:trPr>
        <w:tc>
          <w:tcPr>
            <w:tcW w:w="88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rPr>
                <w:rFonts w:ascii="仿宋_GB2312" w:hAnsi="宋体" w:eastAsia="仿宋_GB2312" w:cs="宋体"/>
                <w:sz w:val="20"/>
                <w:szCs w:val="20"/>
                <w:lang w:val="en-US" w:bidi="ar-SA"/>
              </w:rPr>
            </w:pPr>
            <w:r>
              <w:rPr>
                <w:rFonts w:hint="eastAsia" w:ascii="仿宋_GB2312" w:hAnsi="宋体" w:eastAsia="仿宋_GB2312" w:cs="宋体"/>
                <w:sz w:val="20"/>
                <w:szCs w:val="20"/>
                <w:lang w:val="en-US" w:bidi="ar-SA"/>
              </w:rPr>
              <w:t>说明：1、扣分单位根据代理机构在服务过程中的实际行为进行扣分，扣分当即录入系统平台。</w:t>
            </w:r>
            <w:r>
              <w:rPr>
                <w:rFonts w:hint="eastAsia" w:ascii="仿宋_GB2312" w:hAnsi="宋体" w:eastAsia="仿宋_GB2312" w:cs="宋体"/>
                <w:sz w:val="20"/>
                <w:szCs w:val="20"/>
                <w:lang w:val="en-US" w:bidi="ar-SA"/>
              </w:rPr>
              <w:br w:type="textWrapping"/>
            </w:r>
            <w:r>
              <w:rPr>
                <w:rFonts w:hint="eastAsia" w:ascii="仿宋_GB2312" w:hAnsi="宋体" w:eastAsia="仿宋_GB2312" w:cs="宋体"/>
                <w:sz w:val="20"/>
                <w:szCs w:val="20"/>
                <w:lang w:val="en-US" w:bidi="ar-SA"/>
              </w:rPr>
              <w:t xml:space="preserve">      2、扣分实行“一事一评”，每个项目基准分100分，所有项目扣分后的平均值为代理机构服务评分。</w:t>
            </w:r>
          </w:p>
        </w:tc>
      </w:tr>
    </w:tbl>
    <w:p>
      <w:pPr>
        <w:suppressLineNumbers/>
        <w:autoSpaceDE/>
        <w:autoSpaceDN/>
        <w:spacing w:line="560" w:lineRule="exact"/>
        <w:jc w:val="both"/>
        <w:outlineLvl w:val="0"/>
        <w:rPr>
          <w:rFonts w:ascii="仿宋_GB2312" w:hAnsi="仿宋_GB2312" w:eastAsia="仿宋_GB2312" w:cs="仿宋_GB2312"/>
          <w:snapToGrid w:val="0"/>
          <w:spacing w:val="-6"/>
          <w:sz w:val="32"/>
          <w:szCs w:val="32"/>
          <w:lang w:val="en-US" w:bidi="ar-SA"/>
        </w:rPr>
      </w:pPr>
    </w:p>
    <w:sectPr>
      <w:footerReference r:id="rId3" w:type="default"/>
      <w:footerReference r:id="rId4" w:type="even"/>
      <w:pgSz w:w="11900" w:h="16840"/>
      <w:pgMar w:top="1984" w:right="1531" w:bottom="1701" w:left="1531" w:header="0" w:footer="1077" w:gutter="0"/>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9B0037-4F94-4E21-AEEC-3102E8F408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013FEE6-8CC1-4909-9AD1-1CD2F44606DE}"/>
  </w:font>
  <w:font w:name="PMingLiU">
    <w:altName w:val="PMingLiU-ExtB"/>
    <w:panose1 w:val="02020500000000000000"/>
    <w:charset w:val="88"/>
    <w:family w:val="auto"/>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embedRegular r:id="rId3" w:fontKey="{C683E78F-6FD3-4BC6-B9AB-830DB15DD793}"/>
  </w:font>
  <w:font w:name="仿宋_GB2312">
    <w:panose1 w:val="02010609030101010101"/>
    <w:charset w:val="86"/>
    <w:family w:val="modern"/>
    <w:pitch w:val="default"/>
    <w:sig w:usb0="00000001" w:usb1="080E0000" w:usb2="00000000" w:usb3="00000000" w:csb0="00040000" w:csb1="00000000"/>
    <w:embedRegular r:id="rId4" w:fontKey="{E6CA46CC-701C-4A74-B52A-F443D5B0BE1A}"/>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lang w:val="en-US" w:bidi="ar-SA"/>
      </w:rPr>
      <mc:AlternateContent>
        <mc:Choice Requires="wps">
          <w:drawing>
            <wp:anchor distT="0" distB="0" distL="114300" distR="114300" simplePos="0" relativeHeight="251658240" behindDoc="0" locked="0" layoutInCell="1" allowOverlap="1">
              <wp:simplePos x="0" y="0"/>
              <wp:positionH relativeFrom="margin">
                <wp:posOffset>5103495</wp:posOffset>
              </wp:positionH>
              <wp:positionV relativeFrom="paragraph">
                <wp:posOffset>-342265</wp:posOffset>
              </wp:positionV>
              <wp:extent cx="508635" cy="49085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08635" cy="490855"/>
                      </a:xfrm>
                      <a:prstGeom prst="rect">
                        <a:avLst/>
                      </a:prstGeom>
                      <a:noFill/>
                      <a:ln>
                        <a:noFill/>
                      </a:ln>
                      <a:effectLst/>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wps:txbx>
                    <wps:bodyPr lIns="0" tIns="0" rIns="0" bIns="0" upright="1"/>
                  </wps:wsp>
                </a:graphicData>
              </a:graphic>
            </wp:anchor>
          </w:drawing>
        </mc:Choice>
        <mc:Fallback>
          <w:pict>
            <v:shape id="文本框 1025" o:spid="_x0000_s1026" o:spt="202" type="#_x0000_t202" style="position:absolute;left:0pt;margin-left:401.85pt;margin-top:-26.95pt;height:38.65pt;width:40.05pt;mso-position-horizontal-relative:margin;z-index:251658240;mso-width-relative:page;mso-height-relative:page;" filled="f" stroked="f" coordsize="21600,21600" o:gfxdata="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A3xHbaAAAACgEA&#10;AA8AAAAAAAAAAQAgAAAAIgAAAGRycy9kb3ducmV2LnhtbFBLAQIUABQAAAAIAIdO4kCQ9kj7pgEA&#10;ADQDAAAOAAAAAAAAAAEAIAAAACkBAABkcnMvZTJvRG9jLnhtbFBLBQYAAAAABgAGAFkBAABBBQAA&#10;AAA=&#10;">
              <v:fill on="f" focussize="0,0"/>
              <v:stroke on="f"/>
              <v:imagedata o:title=""/>
              <o:lock v:ext="edit" aspectratio="f"/>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lang w:val="en-US" w:bidi="ar-SA"/>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-371475</wp:posOffset>
              </wp:positionV>
              <wp:extent cx="555625" cy="52006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55625" cy="520065"/>
                      </a:xfrm>
                      <a:prstGeom prst="rect">
                        <a:avLst/>
                      </a:prstGeom>
                      <a:noFill/>
                      <a:ln>
                        <a:noFill/>
                      </a:ln>
                      <a:effectLst/>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lIns="0" tIns="0" rIns="0" bIns="0" upright="1"/>
                  </wps:wsp>
                </a:graphicData>
              </a:graphic>
            </wp:anchor>
          </w:drawing>
        </mc:Choice>
        <mc:Fallback>
          <w:pict>
            <v:shape id="文本框 1026" o:spid="_x0000_s1026" o:spt="202" type="#_x0000_t202" style="position:absolute;left:0pt;margin-left:0.75pt;margin-top:-29.25pt;height:40.95pt;width:43.75pt;mso-position-horizontal-relative:margin;z-index:251659264;mso-width-relative:page;mso-height-relative:page;" filled="f" stroked="f" coordsize="21600,21600" o:gfxdata="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aDKz9YAAAAHAQAADwAAAAAA&#10;AAABACAAAAAiAAAAZHJzL2Rvd25yZXYueG1sUEsBAhQAFAAAAAgAh07iQNGasKejAQAANAMAAA4A&#10;AAAAAAAAAQAgAAAAJQEAAGRycy9lMm9Eb2MueG1sUEsFBgAAAAAGAAYAWQEAADoFAAAAAA==&#10;">
              <v:fill on="f" focussize="0,0"/>
              <v:stroke on="f"/>
              <v:imagedata o:title=""/>
              <o:lock v:ext="edit" aspectratio="f"/>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6527"/>
    <w:multiLevelType w:val="singleLevel"/>
    <w:tmpl w:val="60136527"/>
    <w:lvl w:ilvl="0" w:tentative="0">
      <w:start w:val="1"/>
      <w:numFmt w:val="chineseCounting"/>
      <w:suff w:val="nothing"/>
      <w:lvlText w:val="（%1）"/>
      <w:lvlJc w:val="left"/>
      <w:rPr>
        <w:rFonts w:hint="eastAsia"/>
      </w:rPr>
    </w:lvl>
  </w:abstractNum>
  <w:abstractNum w:abstractNumId="1">
    <w:nsid w:val="63B2CED8"/>
    <w:multiLevelType w:val="singleLevel"/>
    <w:tmpl w:val="63B2CED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62"/>
    <w:rsid w:val="000025FA"/>
    <w:rsid w:val="00002E30"/>
    <w:rsid w:val="0000335C"/>
    <w:rsid w:val="000034C9"/>
    <w:rsid w:val="00004355"/>
    <w:rsid w:val="00006373"/>
    <w:rsid w:val="0000661F"/>
    <w:rsid w:val="00010A87"/>
    <w:rsid w:val="00010B0F"/>
    <w:rsid w:val="00010D4D"/>
    <w:rsid w:val="000115D3"/>
    <w:rsid w:val="00013256"/>
    <w:rsid w:val="00013953"/>
    <w:rsid w:val="00014895"/>
    <w:rsid w:val="0001521D"/>
    <w:rsid w:val="000157D3"/>
    <w:rsid w:val="000157DA"/>
    <w:rsid w:val="000159E2"/>
    <w:rsid w:val="0001672D"/>
    <w:rsid w:val="0002090B"/>
    <w:rsid w:val="00020E5C"/>
    <w:rsid w:val="00024CF8"/>
    <w:rsid w:val="0003354F"/>
    <w:rsid w:val="0003380B"/>
    <w:rsid w:val="000368BE"/>
    <w:rsid w:val="00036902"/>
    <w:rsid w:val="000372CF"/>
    <w:rsid w:val="0004081F"/>
    <w:rsid w:val="00040B43"/>
    <w:rsid w:val="00040DBA"/>
    <w:rsid w:val="00040E75"/>
    <w:rsid w:val="00041350"/>
    <w:rsid w:val="00046008"/>
    <w:rsid w:val="00052637"/>
    <w:rsid w:val="00052945"/>
    <w:rsid w:val="0005334D"/>
    <w:rsid w:val="00053FA5"/>
    <w:rsid w:val="000574DD"/>
    <w:rsid w:val="0006163E"/>
    <w:rsid w:val="00062927"/>
    <w:rsid w:val="000633A9"/>
    <w:rsid w:val="00063581"/>
    <w:rsid w:val="0006516C"/>
    <w:rsid w:val="000669BA"/>
    <w:rsid w:val="00074EFA"/>
    <w:rsid w:val="00075651"/>
    <w:rsid w:val="00075904"/>
    <w:rsid w:val="0007790B"/>
    <w:rsid w:val="000814A0"/>
    <w:rsid w:val="00082740"/>
    <w:rsid w:val="000903D3"/>
    <w:rsid w:val="00090FAB"/>
    <w:rsid w:val="0009151D"/>
    <w:rsid w:val="00093629"/>
    <w:rsid w:val="000A08AA"/>
    <w:rsid w:val="000A209B"/>
    <w:rsid w:val="000A3B57"/>
    <w:rsid w:val="000A45C1"/>
    <w:rsid w:val="000A6C38"/>
    <w:rsid w:val="000A7DED"/>
    <w:rsid w:val="000B23CF"/>
    <w:rsid w:val="000B27B5"/>
    <w:rsid w:val="000B3479"/>
    <w:rsid w:val="000B359F"/>
    <w:rsid w:val="000B3E9C"/>
    <w:rsid w:val="000B6AD2"/>
    <w:rsid w:val="000B6FEB"/>
    <w:rsid w:val="000C1122"/>
    <w:rsid w:val="000C349D"/>
    <w:rsid w:val="000C57F0"/>
    <w:rsid w:val="000C6BFD"/>
    <w:rsid w:val="000D0A08"/>
    <w:rsid w:val="000D3431"/>
    <w:rsid w:val="000D59F0"/>
    <w:rsid w:val="000D68D3"/>
    <w:rsid w:val="000D77AF"/>
    <w:rsid w:val="000E373B"/>
    <w:rsid w:val="000E55B6"/>
    <w:rsid w:val="000E6B74"/>
    <w:rsid w:val="000E7A13"/>
    <w:rsid w:val="000F121D"/>
    <w:rsid w:val="000F33B6"/>
    <w:rsid w:val="000F35A0"/>
    <w:rsid w:val="000F3984"/>
    <w:rsid w:val="000F3DAD"/>
    <w:rsid w:val="000F5F24"/>
    <w:rsid w:val="00100DDD"/>
    <w:rsid w:val="00102522"/>
    <w:rsid w:val="00106B00"/>
    <w:rsid w:val="001077B2"/>
    <w:rsid w:val="001117D7"/>
    <w:rsid w:val="00111BA2"/>
    <w:rsid w:val="001150C7"/>
    <w:rsid w:val="0011598B"/>
    <w:rsid w:val="00116630"/>
    <w:rsid w:val="001168D1"/>
    <w:rsid w:val="00116FF3"/>
    <w:rsid w:val="00117AE6"/>
    <w:rsid w:val="0012127A"/>
    <w:rsid w:val="00122F58"/>
    <w:rsid w:val="0012308F"/>
    <w:rsid w:val="00124CAC"/>
    <w:rsid w:val="0012725E"/>
    <w:rsid w:val="00131675"/>
    <w:rsid w:val="0013278D"/>
    <w:rsid w:val="001350DC"/>
    <w:rsid w:val="00136F5F"/>
    <w:rsid w:val="001422C6"/>
    <w:rsid w:val="00143C42"/>
    <w:rsid w:val="00145273"/>
    <w:rsid w:val="00147E39"/>
    <w:rsid w:val="001510E3"/>
    <w:rsid w:val="001516E3"/>
    <w:rsid w:val="00152D45"/>
    <w:rsid w:val="001531D8"/>
    <w:rsid w:val="00153F11"/>
    <w:rsid w:val="0015459B"/>
    <w:rsid w:val="00155A46"/>
    <w:rsid w:val="001577B8"/>
    <w:rsid w:val="00157B92"/>
    <w:rsid w:val="00160013"/>
    <w:rsid w:val="00161263"/>
    <w:rsid w:val="00161E5F"/>
    <w:rsid w:val="0016226C"/>
    <w:rsid w:val="00163E3C"/>
    <w:rsid w:val="00164DBC"/>
    <w:rsid w:val="00173282"/>
    <w:rsid w:val="00173897"/>
    <w:rsid w:val="00175433"/>
    <w:rsid w:val="00175B9E"/>
    <w:rsid w:val="00176562"/>
    <w:rsid w:val="001816AC"/>
    <w:rsid w:val="0018180E"/>
    <w:rsid w:val="00182A33"/>
    <w:rsid w:val="00183600"/>
    <w:rsid w:val="001838B0"/>
    <w:rsid w:val="00185EE9"/>
    <w:rsid w:val="001861B3"/>
    <w:rsid w:val="001862A3"/>
    <w:rsid w:val="001868EC"/>
    <w:rsid w:val="00187709"/>
    <w:rsid w:val="0019083E"/>
    <w:rsid w:val="00191441"/>
    <w:rsid w:val="001917AF"/>
    <w:rsid w:val="0019193E"/>
    <w:rsid w:val="001920D0"/>
    <w:rsid w:val="00192395"/>
    <w:rsid w:val="00192D62"/>
    <w:rsid w:val="00194423"/>
    <w:rsid w:val="001953F4"/>
    <w:rsid w:val="00196A37"/>
    <w:rsid w:val="001A0AF8"/>
    <w:rsid w:val="001A0B86"/>
    <w:rsid w:val="001A160C"/>
    <w:rsid w:val="001A3463"/>
    <w:rsid w:val="001A72F8"/>
    <w:rsid w:val="001B284B"/>
    <w:rsid w:val="001B3D2B"/>
    <w:rsid w:val="001C1995"/>
    <w:rsid w:val="001C6742"/>
    <w:rsid w:val="001C7D74"/>
    <w:rsid w:val="001D0AE1"/>
    <w:rsid w:val="001D33B9"/>
    <w:rsid w:val="001D3FF2"/>
    <w:rsid w:val="001D415A"/>
    <w:rsid w:val="001D43F2"/>
    <w:rsid w:val="001D475A"/>
    <w:rsid w:val="001D4F79"/>
    <w:rsid w:val="001D6667"/>
    <w:rsid w:val="001D7C6E"/>
    <w:rsid w:val="001E0468"/>
    <w:rsid w:val="001E3128"/>
    <w:rsid w:val="001E779E"/>
    <w:rsid w:val="001F560E"/>
    <w:rsid w:val="001F59C9"/>
    <w:rsid w:val="001F5E01"/>
    <w:rsid w:val="001F7D59"/>
    <w:rsid w:val="0020025E"/>
    <w:rsid w:val="0020055D"/>
    <w:rsid w:val="002008EA"/>
    <w:rsid w:val="00200C91"/>
    <w:rsid w:val="0020109B"/>
    <w:rsid w:val="00204C4C"/>
    <w:rsid w:val="002063BC"/>
    <w:rsid w:val="002074C1"/>
    <w:rsid w:val="002124FB"/>
    <w:rsid w:val="00212962"/>
    <w:rsid w:val="002132DC"/>
    <w:rsid w:val="00213448"/>
    <w:rsid w:val="002136A6"/>
    <w:rsid w:val="002147C3"/>
    <w:rsid w:val="002152C3"/>
    <w:rsid w:val="0021736E"/>
    <w:rsid w:val="00217D35"/>
    <w:rsid w:val="00220289"/>
    <w:rsid w:val="00220C27"/>
    <w:rsid w:val="00221310"/>
    <w:rsid w:val="0022482A"/>
    <w:rsid w:val="002256DA"/>
    <w:rsid w:val="00231251"/>
    <w:rsid w:val="00233A72"/>
    <w:rsid w:val="0023537D"/>
    <w:rsid w:val="00237026"/>
    <w:rsid w:val="002418CD"/>
    <w:rsid w:val="00243847"/>
    <w:rsid w:val="00247ED2"/>
    <w:rsid w:val="002506F9"/>
    <w:rsid w:val="00250F2E"/>
    <w:rsid w:val="002547B9"/>
    <w:rsid w:val="002564D8"/>
    <w:rsid w:val="00261F06"/>
    <w:rsid w:val="00262126"/>
    <w:rsid w:val="00262D1B"/>
    <w:rsid w:val="002633EB"/>
    <w:rsid w:val="002637AE"/>
    <w:rsid w:val="0026404F"/>
    <w:rsid w:val="00265FB8"/>
    <w:rsid w:val="00272739"/>
    <w:rsid w:val="00272D6C"/>
    <w:rsid w:val="00272F70"/>
    <w:rsid w:val="002738FF"/>
    <w:rsid w:val="00273A9D"/>
    <w:rsid w:val="00275E06"/>
    <w:rsid w:val="00277121"/>
    <w:rsid w:val="00277491"/>
    <w:rsid w:val="00277501"/>
    <w:rsid w:val="002801D9"/>
    <w:rsid w:val="00280FA9"/>
    <w:rsid w:val="00282B82"/>
    <w:rsid w:val="00284CB3"/>
    <w:rsid w:val="002900EB"/>
    <w:rsid w:val="0029098F"/>
    <w:rsid w:val="00292C1D"/>
    <w:rsid w:val="00292DB9"/>
    <w:rsid w:val="00295DC7"/>
    <w:rsid w:val="00295F0E"/>
    <w:rsid w:val="002A0DA9"/>
    <w:rsid w:val="002A1C3A"/>
    <w:rsid w:val="002A66BA"/>
    <w:rsid w:val="002A7FAB"/>
    <w:rsid w:val="002B3D9B"/>
    <w:rsid w:val="002B418F"/>
    <w:rsid w:val="002B46FD"/>
    <w:rsid w:val="002B5756"/>
    <w:rsid w:val="002C0C3E"/>
    <w:rsid w:val="002C0E44"/>
    <w:rsid w:val="002C4081"/>
    <w:rsid w:val="002C4F5A"/>
    <w:rsid w:val="002C7003"/>
    <w:rsid w:val="002C71A1"/>
    <w:rsid w:val="002C7881"/>
    <w:rsid w:val="002D0748"/>
    <w:rsid w:val="002D0C78"/>
    <w:rsid w:val="002D1C0B"/>
    <w:rsid w:val="002D6A72"/>
    <w:rsid w:val="002D7883"/>
    <w:rsid w:val="002E16AC"/>
    <w:rsid w:val="002E2854"/>
    <w:rsid w:val="002E3F63"/>
    <w:rsid w:val="002E6508"/>
    <w:rsid w:val="002E689B"/>
    <w:rsid w:val="002F0CD6"/>
    <w:rsid w:val="002F1464"/>
    <w:rsid w:val="002F3CED"/>
    <w:rsid w:val="002F4D4D"/>
    <w:rsid w:val="002F606A"/>
    <w:rsid w:val="002F61A4"/>
    <w:rsid w:val="00302B86"/>
    <w:rsid w:val="00302EF5"/>
    <w:rsid w:val="003030C8"/>
    <w:rsid w:val="00303D8C"/>
    <w:rsid w:val="00304D47"/>
    <w:rsid w:val="00310926"/>
    <w:rsid w:val="0031200E"/>
    <w:rsid w:val="00313599"/>
    <w:rsid w:val="0031389E"/>
    <w:rsid w:val="00313AD5"/>
    <w:rsid w:val="00313D48"/>
    <w:rsid w:val="00314361"/>
    <w:rsid w:val="00314916"/>
    <w:rsid w:val="00314A41"/>
    <w:rsid w:val="003161C1"/>
    <w:rsid w:val="0031694F"/>
    <w:rsid w:val="00317D27"/>
    <w:rsid w:val="003221F7"/>
    <w:rsid w:val="0032485B"/>
    <w:rsid w:val="00326106"/>
    <w:rsid w:val="003310DB"/>
    <w:rsid w:val="00331603"/>
    <w:rsid w:val="00334C92"/>
    <w:rsid w:val="00336C13"/>
    <w:rsid w:val="0034297A"/>
    <w:rsid w:val="00344013"/>
    <w:rsid w:val="003440E6"/>
    <w:rsid w:val="0034413F"/>
    <w:rsid w:val="00346227"/>
    <w:rsid w:val="00350451"/>
    <w:rsid w:val="0035512B"/>
    <w:rsid w:val="003564FF"/>
    <w:rsid w:val="003579A8"/>
    <w:rsid w:val="003609B7"/>
    <w:rsid w:val="00362B52"/>
    <w:rsid w:val="00363584"/>
    <w:rsid w:val="00364065"/>
    <w:rsid w:val="003715C2"/>
    <w:rsid w:val="003722E9"/>
    <w:rsid w:val="00372AA2"/>
    <w:rsid w:val="003734D9"/>
    <w:rsid w:val="00376C66"/>
    <w:rsid w:val="00380167"/>
    <w:rsid w:val="00381F4C"/>
    <w:rsid w:val="00382772"/>
    <w:rsid w:val="00383DC0"/>
    <w:rsid w:val="00385710"/>
    <w:rsid w:val="0038612A"/>
    <w:rsid w:val="00387331"/>
    <w:rsid w:val="00392612"/>
    <w:rsid w:val="00394FE0"/>
    <w:rsid w:val="00397CF4"/>
    <w:rsid w:val="003A0CA3"/>
    <w:rsid w:val="003A424D"/>
    <w:rsid w:val="003A467A"/>
    <w:rsid w:val="003A5C3D"/>
    <w:rsid w:val="003A66C9"/>
    <w:rsid w:val="003A6F62"/>
    <w:rsid w:val="003A7286"/>
    <w:rsid w:val="003B2D0F"/>
    <w:rsid w:val="003B3A7B"/>
    <w:rsid w:val="003B53AD"/>
    <w:rsid w:val="003B5A1A"/>
    <w:rsid w:val="003C0BE0"/>
    <w:rsid w:val="003C1A7F"/>
    <w:rsid w:val="003C2648"/>
    <w:rsid w:val="003C2683"/>
    <w:rsid w:val="003C2698"/>
    <w:rsid w:val="003C2DB7"/>
    <w:rsid w:val="003C5731"/>
    <w:rsid w:val="003D0A0C"/>
    <w:rsid w:val="003D1D88"/>
    <w:rsid w:val="003D234D"/>
    <w:rsid w:val="003D412E"/>
    <w:rsid w:val="003D5227"/>
    <w:rsid w:val="003D662E"/>
    <w:rsid w:val="003E0E31"/>
    <w:rsid w:val="003E1AC3"/>
    <w:rsid w:val="003E1E56"/>
    <w:rsid w:val="003E22F3"/>
    <w:rsid w:val="003E35BD"/>
    <w:rsid w:val="003E7914"/>
    <w:rsid w:val="003F16EC"/>
    <w:rsid w:val="003F1A82"/>
    <w:rsid w:val="003F6E71"/>
    <w:rsid w:val="00403217"/>
    <w:rsid w:val="00407D94"/>
    <w:rsid w:val="004121AA"/>
    <w:rsid w:val="00412554"/>
    <w:rsid w:val="00413ADA"/>
    <w:rsid w:val="00415B04"/>
    <w:rsid w:val="0041698E"/>
    <w:rsid w:val="004202B0"/>
    <w:rsid w:val="00420EAE"/>
    <w:rsid w:val="004225C6"/>
    <w:rsid w:val="0042385E"/>
    <w:rsid w:val="00424665"/>
    <w:rsid w:val="004246DF"/>
    <w:rsid w:val="00431191"/>
    <w:rsid w:val="004316C4"/>
    <w:rsid w:val="00432C92"/>
    <w:rsid w:val="0043415F"/>
    <w:rsid w:val="004350B6"/>
    <w:rsid w:val="00435C5B"/>
    <w:rsid w:val="00436360"/>
    <w:rsid w:val="00437AD3"/>
    <w:rsid w:val="00440CFA"/>
    <w:rsid w:val="00441B74"/>
    <w:rsid w:val="00441F8A"/>
    <w:rsid w:val="00445E28"/>
    <w:rsid w:val="00452BE4"/>
    <w:rsid w:val="00452E82"/>
    <w:rsid w:val="0045329D"/>
    <w:rsid w:val="0045609F"/>
    <w:rsid w:val="00457D26"/>
    <w:rsid w:val="00457FF6"/>
    <w:rsid w:val="00460639"/>
    <w:rsid w:val="00462ADD"/>
    <w:rsid w:val="00462CAE"/>
    <w:rsid w:val="00470161"/>
    <w:rsid w:val="00470AB8"/>
    <w:rsid w:val="0047293C"/>
    <w:rsid w:val="0047436C"/>
    <w:rsid w:val="00474DEC"/>
    <w:rsid w:val="00476133"/>
    <w:rsid w:val="00476E64"/>
    <w:rsid w:val="00481B74"/>
    <w:rsid w:val="004835D1"/>
    <w:rsid w:val="00483DF1"/>
    <w:rsid w:val="0048536D"/>
    <w:rsid w:val="00485ED8"/>
    <w:rsid w:val="004863F7"/>
    <w:rsid w:val="00487543"/>
    <w:rsid w:val="004875BE"/>
    <w:rsid w:val="00491397"/>
    <w:rsid w:val="00492935"/>
    <w:rsid w:val="0049348E"/>
    <w:rsid w:val="004951AD"/>
    <w:rsid w:val="004957E0"/>
    <w:rsid w:val="004966A4"/>
    <w:rsid w:val="004A025C"/>
    <w:rsid w:val="004A0422"/>
    <w:rsid w:val="004A07D8"/>
    <w:rsid w:val="004A3D96"/>
    <w:rsid w:val="004B2487"/>
    <w:rsid w:val="004B2A46"/>
    <w:rsid w:val="004B2E6B"/>
    <w:rsid w:val="004B3D7F"/>
    <w:rsid w:val="004B52D7"/>
    <w:rsid w:val="004C3F4A"/>
    <w:rsid w:val="004C47F1"/>
    <w:rsid w:val="004C49D7"/>
    <w:rsid w:val="004C6C28"/>
    <w:rsid w:val="004C7B84"/>
    <w:rsid w:val="004D2165"/>
    <w:rsid w:val="004D39DB"/>
    <w:rsid w:val="004D3B80"/>
    <w:rsid w:val="004D4A89"/>
    <w:rsid w:val="004D4C4E"/>
    <w:rsid w:val="004D55EA"/>
    <w:rsid w:val="004D6C53"/>
    <w:rsid w:val="004E5AFD"/>
    <w:rsid w:val="004E69A0"/>
    <w:rsid w:val="004E7053"/>
    <w:rsid w:val="004F0353"/>
    <w:rsid w:val="004F0B85"/>
    <w:rsid w:val="004F3677"/>
    <w:rsid w:val="004F3755"/>
    <w:rsid w:val="004F69FE"/>
    <w:rsid w:val="00502415"/>
    <w:rsid w:val="00507699"/>
    <w:rsid w:val="00507ED6"/>
    <w:rsid w:val="005109D4"/>
    <w:rsid w:val="00510F8F"/>
    <w:rsid w:val="00512216"/>
    <w:rsid w:val="00513097"/>
    <w:rsid w:val="00514A2C"/>
    <w:rsid w:val="00516495"/>
    <w:rsid w:val="00520F1A"/>
    <w:rsid w:val="00521261"/>
    <w:rsid w:val="005234CA"/>
    <w:rsid w:val="00523F60"/>
    <w:rsid w:val="005257A2"/>
    <w:rsid w:val="00525C77"/>
    <w:rsid w:val="005260B4"/>
    <w:rsid w:val="00527072"/>
    <w:rsid w:val="00527401"/>
    <w:rsid w:val="00530FB4"/>
    <w:rsid w:val="005317B6"/>
    <w:rsid w:val="0053398F"/>
    <w:rsid w:val="00533D6A"/>
    <w:rsid w:val="00534220"/>
    <w:rsid w:val="00537DAE"/>
    <w:rsid w:val="00540708"/>
    <w:rsid w:val="00541A8C"/>
    <w:rsid w:val="00542234"/>
    <w:rsid w:val="005427A9"/>
    <w:rsid w:val="005455B7"/>
    <w:rsid w:val="00546531"/>
    <w:rsid w:val="005515E5"/>
    <w:rsid w:val="00551C6D"/>
    <w:rsid w:val="005520D9"/>
    <w:rsid w:val="0055431B"/>
    <w:rsid w:val="005551AA"/>
    <w:rsid w:val="0056017C"/>
    <w:rsid w:val="005627BA"/>
    <w:rsid w:val="00563BAA"/>
    <w:rsid w:val="00565A6F"/>
    <w:rsid w:val="0057320B"/>
    <w:rsid w:val="00575422"/>
    <w:rsid w:val="0057543D"/>
    <w:rsid w:val="00575B74"/>
    <w:rsid w:val="00576831"/>
    <w:rsid w:val="005775A7"/>
    <w:rsid w:val="00577A59"/>
    <w:rsid w:val="00582240"/>
    <w:rsid w:val="00584CE5"/>
    <w:rsid w:val="0058655C"/>
    <w:rsid w:val="0058755F"/>
    <w:rsid w:val="00590A3E"/>
    <w:rsid w:val="00591229"/>
    <w:rsid w:val="00593564"/>
    <w:rsid w:val="0059571D"/>
    <w:rsid w:val="00595A0D"/>
    <w:rsid w:val="0059627D"/>
    <w:rsid w:val="0059634D"/>
    <w:rsid w:val="005A12B2"/>
    <w:rsid w:val="005A22BB"/>
    <w:rsid w:val="005A2312"/>
    <w:rsid w:val="005A2E77"/>
    <w:rsid w:val="005A61B6"/>
    <w:rsid w:val="005A7CEF"/>
    <w:rsid w:val="005B43B5"/>
    <w:rsid w:val="005B4547"/>
    <w:rsid w:val="005B5373"/>
    <w:rsid w:val="005C062E"/>
    <w:rsid w:val="005C20AE"/>
    <w:rsid w:val="005C2294"/>
    <w:rsid w:val="005C6738"/>
    <w:rsid w:val="005C717E"/>
    <w:rsid w:val="005D08D6"/>
    <w:rsid w:val="005D2D40"/>
    <w:rsid w:val="005D755B"/>
    <w:rsid w:val="005D7735"/>
    <w:rsid w:val="005E08C6"/>
    <w:rsid w:val="005E221F"/>
    <w:rsid w:val="005E745C"/>
    <w:rsid w:val="005F0ADA"/>
    <w:rsid w:val="005F16AD"/>
    <w:rsid w:val="005F1E15"/>
    <w:rsid w:val="005F4491"/>
    <w:rsid w:val="005F45EA"/>
    <w:rsid w:val="005F4C3F"/>
    <w:rsid w:val="005F6423"/>
    <w:rsid w:val="005F66A4"/>
    <w:rsid w:val="00600D0A"/>
    <w:rsid w:val="0060125A"/>
    <w:rsid w:val="0060194D"/>
    <w:rsid w:val="0060206C"/>
    <w:rsid w:val="006028ED"/>
    <w:rsid w:val="00602C7F"/>
    <w:rsid w:val="00603BC4"/>
    <w:rsid w:val="006049B4"/>
    <w:rsid w:val="00605040"/>
    <w:rsid w:val="006050B0"/>
    <w:rsid w:val="00605F0E"/>
    <w:rsid w:val="0060645A"/>
    <w:rsid w:val="00611942"/>
    <w:rsid w:val="00612CBA"/>
    <w:rsid w:val="00613D6E"/>
    <w:rsid w:val="00615906"/>
    <w:rsid w:val="00615E44"/>
    <w:rsid w:val="0062146D"/>
    <w:rsid w:val="00621FE6"/>
    <w:rsid w:val="006224C3"/>
    <w:rsid w:val="00624A20"/>
    <w:rsid w:val="006266A3"/>
    <w:rsid w:val="00627189"/>
    <w:rsid w:val="00627551"/>
    <w:rsid w:val="0063000B"/>
    <w:rsid w:val="006309CE"/>
    <w:rsid w:val="00631010"/>
    <w:rsid w:val="00631EE0"/>
    <w:rsid w:val="006321EB"/>
    <w:rsid w:val="00632B06"/>
    <w:rsid w:val="0063627C"/>
    <w:rsid w:val="006363B3"/>
    <w:rsid w:val="006377EF"/>
    <w:rsid w:val="00637B38"/>
    <w:rsid w:val="00637DBE"/>
    <w:rsid w:val="00640548"/>
    <w:rsid w:val="006409E1"/>
    <w:rsid w:val="00640C73"/>
    <w:rsid w:val="00640F78"/>
    <w:rsid w:val="006431E2"/>
    <w:rsid w:val="006432FB"/>
    <w:rsid w:val="00644B96"/>
    <w:rsid w:val="006453F5"/>
    <w:rsid w:val="0064637F"/>
    <w:rsid w:val="006471E0"/>
    <w:rsid w:val="006525EB"/>
    <w:rsid w:val="00652E17"/>
    <w:rsid w:val="0065696B"/>
    <w:rsid w:val="00663D4C"/>
    <w:rsid w:val="00670DDA"/>
    <w:rsid w:val="00670E7E"/>
    <w:rsid w:val="006725BE"/>
    <w:rsid w:val="0067407C"/>
    <w:rsid w:val="0067529E"/>
    <w:rsid w:val="006752AE"/>
    <w:rsid w:val="00675384"/>
    <w:rsid w:val="00676485"/>
    <w:rsid w:val="00676823"/>
    <w:rsid w:val="00676FE7"/>
    <w:rsid w:val="00680488"/>
    <w:rsid w:val="00680B38"/>
    <w:rsid w:val="006822ED"/>
    <w:rsid w:val="006824BE"/>
    <w:rsid w:val="00682CD5"/>
    <w:rsid w:val="006835E0"/>
    <w:rsid w:val="00686962"/>
    <w:rsid w:val="00687ABE"/>
    <w:rsid w:val="006906F2"/>
    <w:rsid w:val="006909BC"/>
    <w:rsid w:val="00692134"/>
    <w:rsid w:val="00692FC4"/>
    <w:rsid w:val="00693950"/>
    <w:rsid w:val="00693D08"/>
    <w:rsid w:val="006947D9"/>
    <w:rsid w:val="00697895"/>
    <w:rsid w:val="006A017D"/>
    <w:rsid w:val="006A1049"/>
    <w:rsid w:val="006A168F"/>
    <w:rsid w:val="006A2907"/>
    <w:rsid w:val="006A2CA9"/>
    <w:rsid w:val="006A5F7B"/>
    <w:rsid w:val="006A6291"/>
    <w:rsid w:val="006B02B7"/>
    <w:rsid w:val="006B1611"/>
    <w:rsid w:val="006B161A"/>
    <w:rsid w:val="006B2937"/>
    <w:rsid w:val="006B3E19"/>
    <w:rsid w:val="006B41A4"/>
    <w:rsid w:val="006B4EC7"/>
    <w:rsid w:val="006B69B6"/>
    <w:rsid w:val="006B6FEF"/>
    <w:rsid w:val="006C099E"/>
    <w:rsid w:val="006C1774"/>
    <w:rsid w:val="006C1D8A"/>
    <w:rsid w:val="006C24C3"/>
    <w:rsid w:val="006C6DA2"/>
    <w:rsid w:val="006D0803"/>
    <w:rsid w:val="006D2275"/>
    <w:rsid w:val="006D3BA0"/>
    <w:rsid w:val="006D4607"/>
    <w:rsid w:val="006D55CF"/>
    <w:rsid w:val="006D5DC2"/>
    <w:rsid w:val="006D6856"/>
    <w:rsid w:val="006D7802"/>
    <w:rsid w:val="006E2D17"/>
    <w:rsid w:val="006E2D59"/>
    <w:rsid w:val="006E2E60"/>
    <w:rsid w:val="006E3D4D"/>
    <w:rsid w:val="006E58BF"/>
    <w:rsid w:val="006E5C79"/>
    <w:rsid w:val="006E5E1A"/>
    <w:rsid w:val="006E5F29"/>
    <w:rsid w:val="006E607F"/>
    <w:rsid w:val="006E6F4A"/>
    <w:rsid w:val="006F0020"/>
    <w:rsid w:val="006F2167"/>
    <w:rsid w:val="006F2228"/>
    <w:rsid w:val="006F23E8"/>
    <w:rsid w:val="006F2464"/>
    <w:rsid w:val="006F2CA0"/>
    <w:rsid w:val="006F3AE7"/>
    <w:rsid w:val="006F5B15"/>
    <w:rsid w:val="006F6DFB"/>
    <w:rsid w:val="006F747C"/>
    <w:rsid w:val="006F7500"/>
    <w:rsid w:val="00700B9E"/>
    <w:rsid w:val="00701057"/>
    <w:rsid w:val="007019AB"/>
    <w:rsid w:val="007019EC"/>
    <w:rsid w:val="00703E71"/>
    <w:rsid w:val="00704E71"/>
    <w:rsid w:val="00705B12"/>
    <w:rsid w:val="00705E79"/>
    <w:rsid w:val="00707818"/>
    <w:rsid w:val="0071191B"/>
    <w:rsid w:val="00714DB9"/>
    <w:rsid w:val="00715E14"/>
    <w:rsid w:val="00715E21"/>
    <w:rsid w:val="00720E93"/>
    <w:rsid w:val="0072243F"/>
    <w:rsid w:val="00727773"/>
    <w:rsid w:val="00727F09"/>
    <w:rsid w:val="00730294"/>
    <w:rsid w:val="007306FC"/>
    <w:rsid w:val="0073094F"/>
    <w:rsid w:val="00730A95"/>
    <w:rsid w:val="00730C73"/>
    <w:rsid w:val="007324D2"/>
    <w:rsid w:val="0073280D"/>
    <w:rsid w:val="00737047"/>
    <w:rsid w:val="00740980"/>
    <w:rsid w:val="00741144"/>
    <w:rsid w:val="00741EB1"/>
    <w:rsid w:val="007420C7"/>
    <w:rsid w:val="007424B8"/>
    <w:rsid w:val="0074579E"/>
    <w:rsid w:val="00745F31"/>
    <w:rsid w:val="00751DA5"/>
    <w:rsid w:val="00753553"/>
    <w:rsid w:val="0075390C"/>
    <w:rsid w:val="0075653C"/>
    <w:rsid w:val="007566BA"/>
    <w:rsid w:val="00756CB3"/>
    <w:rsid w:val="00756CC1"/>
    <w:rsid w:val="007574F3"/>
    <w:rsid w:val="00757ECF"/>
    <w:rsid w:val="007607FA"/>
    <w:rsid w:val="00765DF8"/>
    <w:rsid w:val="00767084"/>
    <w:rsid w:val="00767777"/>
    <w:rsid w:val="007705B3"/>
    <w:rsid w:val="00775EB2"/>
    <w:rsid w:val="00776234"/>
    <w:rsid w:val="00781726"/>
    <w:rsid w:val="0078655E"/>
    <w:rsid w:val="007870AA"/>
    <w:rsid w:val="007932D2"/>
    <w:rsid w:val="007935B9"/>
    <w:rsid w:val="007942E5"/>
    <w:rsid w:val="00797CEC"/>
    <w:rsid w:val="007A38D4"/>
    <w:rsid w:val="007A4E72"/>
    <w:rsid w:val="007A63A8"/>
    <w:rsid w:val="007A6650"/>
    <w:rsid w:val="007A6E7A"/>
    <w:rsid w:val="007B0B2D"/>
    <w:rsid w:val="007B1100"/>
    <w:rsid w:val="007B1B00"/>
    <w:rsid w:val="007B2053"/>
    <w:rsid w:val="007B3A2B"/>
    <w:rsid w:val="007B4460"/>
    <w:rsid w:val="007C0C3D"/>
    <w:rsid w:val="007C1E0B"/>
    <w:rsid w:val="007C2E86"/>
    <w:rsid w:val="007C3E24"/>
    <w:rsid w:val="007C6574"/>
    <w:rsid w:val="007D3EAF"/>
    <w:rsid w:val="007D5377"/>
    <w:rsid w:val="007D53AC"/>
    <w:rsid w:val="007E17D2"/>
    <w:rsid w:val="007E2BBA"/>
    <w:rsid w:val="007E43F4"/>
    <w:rsid w:val="007E4D1A"/>
    <w:rsid w:val="007E5B43"/>
    <w:rsid w:val="007E6F09"/>
    <w:rsid w:val="007F007C"/>
    <w:rsid w:val="007F062A"/>
    <w:rsid w:val="007F0CF7"/>
    <w:rsid w:val="007F1A6D"/>
    <w:rsid w:val="007F290C"/>
    <w:rsid w:val="007F3B20"/>
    <w:rsid w:val="007F4439"/>
    <w:rsid w:val="007F4739"/>
    <w:rsid w:val="007F6AC1"/>
    <w:rsid w:val="00800042"/>
    <w:rsid w:val="008000BE"/>
    <w:rsid w:val="00800B7A"/>
    <w:rsid w:val="00801BAE"/>
    <w:rsid w:val="00802E34"/>
    <w:rsid w:val="008036DE"/>
    <w:rsid w:val="00806C7B"/>
    <w:rsid w:val="00806E43"/>
    <w:rsid w:val="00807019"/>
    <w:rsid w:val="008113B9"/>
    <w:rsid w:val="008135A5"/>
    <w:rsid w:val="008146B7"/>
    <w:rsid w:val="00814AC6"/>
    <w:rsid w:val="00814FA4"/>
    <w:rsid w:val="00816DC1"/>
    <w:rsid w:val="0081712A"/>
    <w:rsid w:val="00817505"/>
    <w:rsid w:val="0082170D"/>
    <w:rsid w:val="00824364"/>
    <w:rsid w:val="00825AAB"/>
    <w:rsid w:val="008260FA"/>
    <w:rsid w:val="008274C6"/>
    <w:rsid w:val="00827B15"/>
    <w:rsid w:val="0083030C"/>
    <w:rsid w:val="008322C6"/>
    <w:rsid w:val="008336B0"/>
    <w:rsid w:val="00834832"/>
    <w:rsid w:val="0083586D"/>
    <w:rsid w:val="00835894"/>
    <w:rsid w:val="00837D95"/>
    <w:rsid w:val="00842F9D"/>
    <w:rsid w:val="00843A4E"/>
    <w:rsid w:val="008454B4"/>
    <w:rsid w:val="00846D4E"/>
    <w:rsid w:val="00850627"/>
    <w:rsid w:val="00850C72"/>
    <w:rsid w:val="00850D8F"/>
    <w:rsid w:val="00850E24"/>
    <w:rsid w:val="008520EC"/>
    <w:rsid w:val="00852B05"/>
    <w:rsid w:val="00852C3A"/>
    <w:rsid w:val="0085417F"/>
    <w:rsid w:val="00855228"/>
    <w:rsid w:val="00855BDF"/>
    <w:rsid w:val="00857111"/>
    <w:rsid w:val="00857BD4"/>
    <w:rsid w:val="00857C86"/>
    <w:rsid w:val="008614E6"/>
    <w:rsid w:val="00862BD0"/>
    <w:rsid w:val="00863548"/>
    <w:rsid w:val="008640FF"/>
    <w:rsid w:val="00867363"/>
    <w:rsid w:val="0087071B"/>
    <w:rsid w:val="00870925"/>
    <w:rsid w:val="00872DF6"/>
    <w:rsid w:val="008732F1"/>
    <w:rsid w:val="008743D0"/>
    <w:rsid w:val="00875E8B"/>
    <w:rsid w:val="00876A85"/>
    <w:rsid w:val="008772C3"/>
    <w:rsid w:val="0087782E"/>
    <w:rsid w:val="00877F9C"/>
    <w:rsid w:val="008807D3"/>
    <w:rsid w:val="008836B2"/>
    <w:rsid w:val="00884099"/>
    <w:rsid w:val="00884126"/>
    <w:rsid w:val="008848D1"/>
    <w:rsid w:val="008849A8"/>
    <w:rsid w:val="00894E74"/>
    <w:rsid w:val="00895489"/>
    <w:rsid w:val="00896A23"/>
    <w:rsid w:val="00896A83"/>
    <w:rsid w:val="008A072C"/>
    <w:rsid w:val="008A0CAA"/>
    <w:rsid w:val="008A199B"/>
    <w:rsid w:val="008A1CD1"/>
    <w:rsid w:val="008A3789"/>
    <w:rsid w:val="008A39CF"/>
    <w:rsid w:val="008A58BC"/>
    <w:rsid w:val="008A64D6"/>
    <w:rsid w:val="008A7497"/>
    <w:rsid w:val="008B0712"/>
    <w:rsid w:val="008B0FFC"/>
    <w:rsid w:val="008B1D50"/>
    <w:rsid w:val="008B29A1"/>
    <w:rsid w:val="008B301C"/>
    <w:rsid w:val="008B3C89"/>
    <w:rsid w:val="008B4340"/>
    <w:rsid w:val="008B5DFF"/>
    <w:rsid w:val="008B776B"/>
    <w:rsid w:val="008C2543"/>
    <w:rsid w:val="008C2BEB"/>
    <w:rsid w:val="008C4DA1"/>
    <w:rsid w:val="008C7193"/>
    <w:rsid w:val="008C7F3C"/>
    <w:rsid w:val="008D21EF"/>
    <w:rsid w:val="008D3F36"/>
    <w:rsid w:val="008D5296"/>
    <w:rsid w:val="008D6309"/>
    <w:rsid w:val="008D7BB6"/>
    <w:rsid w:val="008E32B5"/>
    <w:rsid w:val="008E41ED"/>
    <w:rsid w:val="008E5305"/>
    <w:rsid w:val="008E5593"/>
    <w:rsid w:val="008E63B0"/>
    <w:rsid w:val="008E6823"/>
    <w:rsid w:val="008F1795"/>
    <w:rsid w:val="008F303A"/>
    <w:rsid w:val="008F4998"/>
    <w:rsid w:val="008F612B"/>
    <w:rsid w:val="008F78DB"/>
    <w:rsid w:val="0090030E"/>
    <w:rsid w:val="0090161F"/>
    <w:rsid w:val="00902E47"/>
    <w:rsid w:val="00903E20"/>
    <w:rsid w:val="00904320"/>
    <w:rsid w:val="009043C0"/>
    <w:rsid w:val="00904FBC"/>
    <w:rsid w:val="00905C9B"/>
    <w:rsid w:val="0091028A"/>
    <w:rsid w:val="009108AC"/>
    <w:rsid w:val="0091178D"/>
    <w:rsid w:val="009124A0"/>
    <w:rsid w:val="009132A5"/>
    <w:rsid w:val="00913884"/>
    <w:rsid w:val="00914ED9"/>
    <w:rsid w:val="00915BF2"/>
    <w:rsid w:val="00917ED4"/>
    <w:rsid w:val="009217AC"/>
    <w:rsid w:val="009227FD"/>
    <w:rsid w:val="009231AA"/>
    <w:rsid w:val="0092469C"/>
    <w:rsid w:val="00924C73"/>
    <w:rsid w:val="009251D9"/>
    <w:rsid w:val="00925A64"/>
    <w:rsid w:val="00927644"/>
    <w:rsid w:val="0093136D"/>
    <w:rsid w:val="00931FB6"/>
    <w:rsid w:val="009339E5"/>
    <w:rsid w:val="00935E55"/>
    <w:rsid w:val="009361F0"/>
    <w:rsid w:val="009371EA"/>
    <w:rsid w:val="00937F70"/>
    <w:rsid w:val="00940CF3"/>
    <w:rsid w:val="00946349"/>
    <w:rsid w:val="00947E57"/>
    <w:rsid w:val="00947F2B"/>
    <w:rsid w:val="00951B70"/>
    <w:rsid w:val="0095269A"/>
    <w:rsid w:val="00954235"/>
    <w:rsid w:val="00956B5E"/>
    <w:rsid w:val="00956F7E"/>
    <w:rsid w:val="00960593"/>
    <w:rsid w:val="00961FF8"/>
    <w:rsid w:val="009625A6"/>
    <w:rsid w:val="00962B85"/>
    <w:rsid w:val="00965D39"/>
    <w:rsid w:val="00966D60"/>
    <w:rsid w:val="00967E8F"/>
    <w:rsid w:val="0097047A"/>
    <w:rsid w:val="00970FE8"/>
    <w:rsid w:val="00971D8C"/>
    <w:rsid w:val="009723B7"/>
    <w:rsid w:val="00975970"/>
    <w:rsid w:val="009773E1"/>
    <w:rsid w:val="009835F4"/>
    <w:rsid w:val="00984172"/>
    <w:rsid w:val="00984A4D"/>
    <w:rsid w:val="00985955"/>
    <w:rsid w:val="0098683A"/>
    <w:rsid w:val="00987D07"/>
    <w:rsid w:val="0099076B"/>
    <w:rsid w:val="00991EA0"/>
    <w:rsid w:val="009921E2"/>
    <w:rsid w:val="009922CC"/>
    <w:rsid w:val="0099320B"/>
    <w:rsid w:val="009937F9"/>
    <w:rsid w:val="00994216"/>
    <w:rsid w:val="00994605"/>
    <w:rsid w:val="009956E7"/>
    <w:rsid w:val="00995B7D"/>
    <w:rsid w:val="00996618"/>
    <w:rsid w:val="00996D8D"/>
    <w:rsid w:val="009971D5"/>
    <w:rsid w:val="009A253B"/>
    <w:rsid w:val="009A40AD"/>
    <w:rsid w:val="009A47DE"/>
    <w:rsid w:val="009A6128"/>
    <w:rsid w:val="009A6217"/>
    <w:rsid w:val="009A624E"/>
    <w:rsid w:val="009A6E23"/>
    <w:rsid w:val="009B0FC3"/>
    <w:rsid w:val="009B1061"/>
    <w:rsid w:val="009B277C"/>
    <w:rsid w:val="009B3EB1"/>
    <w:rsid w:val="009B498E"/>
    <w:rsid w:val="009B54E1"/>
    <w:rsid w:val="009B590E"/>
    <w:rsid w:val="009B735B"/>
    <w:rsid w:val="009B75A7"/>
    <w:rsid w:val="009C074D"/>
    <w:rsid w:val="009C2B71"/>
    <w:rsid w:val="009C4307"/>
    <w:rsid w:val="009C53ED"/>
    <w:rsid w:val="009C6568"/>
    <w:rsid w:val="009C6FAB"/>
    <w:rsid w:val="009C74BE"/>
    <w:rsid w:val="009D1192"/>
    <w:rsid w:val="009D11CD"/>
    <w:rsid w:val="009D3633"/>
    <w:rsid w:val="009D394D"/>
    <w:rsid w:val="009D3A4C"/>
    <w:rsid w:val="009D3F94"/>
    <w:rsid w:val="009D44FD"/>
    <w:rsid w:val="009D6971"/>
    <w:rsid w:val="009D6A15"/>
    <w:rsid w:val="009D6AAB"/>
    <w:rsid w:val="009D7933"/>
    <w:rsid w:val="009E269B"/>
    <w:rsid w:val="009E26B9"/>
    <w:rsid w:val="009E2ED1"/>
    <w:rsid w:val="009E343E"/>
    <w:rsid w:val="009E37C1"/>
    <w:rsid w:val="009E53D2"/>
    <w:rsid w:val="009E705B"/>
    <w:rsid w:val="009E760D"/>
    <w:rsid w:val="009F2184"/>
    <w:rsid w:val="009F25DE"/>
    <w:rsid w:val="009F2939"/>
    <w:rsid w:val="009F6033"/>
    <w:rsid w:val="00A0171C"/>
    <w:rsid w:val="00A02DF8"/>
    <w:rsid w:val="00A03378"/>
    <w:rsid w:val="00A036D3"/>
    <w:rsid w:val="00A06160"/>
    <w:rsid w:val="00A1018E"/>
    <w:rsid w:val="00A12CA7"/>
    <w:rsid w:val="00A13BFF"/>
    <w:rsid w:val="00A25276"/>
    <w:rsid w:val="00A2701B"/>
    <w:rsid w:val="00A33570"/>
    <w:rsid w:val="00A33A0E"/>
    <w:rsid w:val="00A33BC4"/>
    <w:rsid w:val="00A33D75"/>
    <w:rsid w:val="00A34701"/>
    <w:rsid w:val="00A34E0C"/>
    <w:rsid w:val="00A35399"/>
    <w:rsid w:val="00A363B0"/>
    <w:rsid w:val="00A36492"/>
    <w:rsid w:val="00A375E3"/>
    <w:rsid w:val="00A37BB3"/>
    <w:rsid w:val="00A403A8"/>
    <w:rsid w:val="00A423D7"/>
    <w:rsid w:val="00A443DA"/>
    <w:rsid w:val="00A46E3B"/>
    <w:rsid w:val="00A50A3C"/>
    <w:rsid w:val="00A50F6B"/>
    <w:rsid w:val="00A520FD"/>
    <w:rsid w:val="00A54E7D"/>
    <w:rsid w:val="00A55914"/>
    <w:rsid w:val="00A56779"/>
    <w:rsid w:val="00A57107"/>
    <w:rsid w:val="00A578EC"/>
    <w:rsid w:val="00A60E23"/>
    <w:rsid w:val="00A61557"/>
    <w:rsid w:val="00A61D0B"/>
    <w:rsid w:val="00A62245"/>
    <w:rsid w:val="00A6614C"/>
    <w:rsid w:val="00A70BDE"/>
    <w:rsid w:val="00A74FBC"/>
    <w:rsid w:val="00A76CC1"/>
    <w:rsid w:val="00A84DFE"/>
    <w:rsid w:val="00A86511"/>
    <w:rsid w:val="00A86892"/>
    <w:rsid w:val="00A87B8F"/>
    <w:rsid w:val="00A87D31"/>
    <w:rsid w:val="00A91AAB"/>
    <w:rsid w:val="00A95768"/>
    <w:rsid w:val="00A95DD4"/>
    <w:rsid w:val="00AA0A96"/>
    <w:rsid w:val="00AA0B03"/>
    <w:rsid w:val="00AA0D15"/>
    <w:rsid w:val="00AA2117"/>
    <w:rsid w:val="00AA434C"/>
    <w:rsid w:val="00AA4AE6"/>
    <w:rsid w:val="00AA5462"/>
    <w:rsid w:val="00AA64C9"/>
    <w:rsid w:val="00AA71D4"/>
    <w:rsid w:val="00AA758D"/>
    <w:rsid w:val="00AA7664"/>
    <w:rsid w:val="00AB05E4"/>
    <w:rsid w:val="00AB38E6"/>
    <w:rsid w:val="00AB392F"/>
    <w:rsid w:val="00AB616A"/>
    <w:rsid w:val="00AC0EF7"/>
    <w:rsid w:val="00AC1EA5"/>
    <w:rsid w:val="00AC23B3"/>
    <w:rsid w:val="00AC2809"/>
    <w:rsid w:val="00AC4C0A"/>
    <w:rsid w:val="00AC6205"/>
    <w:rsid w:val="00AD0098"/>
    <w:rsid w:val="00AD0FE9"/>
    <w:rsid w:val="00AD16D0"/>
    <w:rsid w:val="00AD284E"/>
    <w:rsid w:val="00AD5FE0"/>
    <w:rsid w:val="00AD69EB"/>
    <w:rsid w:val="00AD6D14"/>
    <w:rsid w:val="00AD729F"/>
    <w:rsid w:val="00AD7E17"/>
    <w:rsid w:val="00AE25B4"/>
    <w:rsid w:val="00AE480E"/>
    <w:rsid w:val="00AE573D"/>
    <w:rsid w:val="00AE717F"/>
    <w:rsid w:val="00AF052C"/>
    <w:rsid w:val="00AF1182"/>
    <w:rsid w:val="00AF5F00"/>
    <w:rsid w:val="00AF6768"/>
    <w:rsid w:val="00AF6B73"/>
    <w:rsid w:val="00AF7DCC"/>
    <w:rsid w:val="00B00FAB"/>
    <w:rsid w:val="00B01585"/>
    <w:rsid w:val="00B01F23"/>
    <w:rsid w:val="00B021BC"/>
    <w:rsid w:val="00B05B92"/>
    <w:rsid w:val="00B106C0"/>
    <w:rsid w:val="00B10975"/>
    <w:rsid w:val="00B135D0"/>
    <w:rsid w:val="00B14D45"/>
    <w:rsid w:val="00B20CC6"/>
    <w:rsid w:val="00B21597"/>
    <w:rsid w:val="00B250BE"/>
    <w:rsid w:val="00B26D9B"/>
    <w:rsid w:val="00B310AC"/>
    <w:rsid w:val="00B34BF3"/>
    <w:rsid w:val="00B3538A"/>
    <w:rsid w:val="00B375E6"/>
    <w:rsid w:val="00B378AD"/>
    <w:rsid w:val="00B42888"/>
    <w:rsid w:val="00B43A8C"/>
    <w:rsid w:val="00B44840"/>
    <w:rsid w:val="00B454D0"/>
    <w:rsid w:val="00B46F8A"/>
    <w:rsid w:val="00B47C41"/>
    <w:rsid w:val="00B50261"/>
    <w:rsid w:val="00B51C96"/>
    <w:rsid w:val="00B533E2"/>
    <w:rsid w:val="00B5469F"/>
    <w:rsid w:val="00B55CF2"/>
    <w:rsid w:val="00B56AC4"/>
    <w:rsid w:val="00B57245"/>
    <w:rsid w:val="00B6073C"/>
    <w:rsid w:val="00B61ABE"/>
    <w:rsid w:val="00B61D25"/>
    <w:rsid w:val="00B62355"/>
    <w:rsid w:val="00B62849"/>
    <w:rsid w:val="00B62C56"/>
    <w:rsid w:val="00B630DA"/>
    <w:rsid w:val="00B64B98"/>
    <w:rsid w:val="00B65D2D"/>
    <w:rsid w:val="00B6784E"/>
    <w:rsid w:val="00B67BA0"/>
    <w:rsid w:val="00B67DC0"/>
    <w:rsid w:val="00B703BC"/>
    <w:rsid w:val="00B763D5"/>
    <w:rsid w:val="00B7654D"/>
    <w:rsid w:val="00B76694"/>
    <w:rsid w:val="00B76ACB"/>
    <w:rsid w:val="00B81EED"/>
    <w:rsid w:val="00B844AF"/>
    <w:rsid w:val="00B8548A"/>
    <w:rsid w:val="00B86A85"/>
    <w:rsid w:val="00B86C14"/>
    <w:rsid w:val="00B87226"/>
    <w:rsid w:val="00B907DF"/>
    <w:rsid w:val="00B91981"/>
    <w:rsid w:val="00B93271"/>
    <w:rsid w:val="00B94806"/>
    <w:rsid w:val="00B9741A"/>
    <w:rsid w:val="00BA17FB"/>
    <w:rsid w:val="00BA3B7E"/>
    <w:rsid w:val="00BA3C6B"/>
    <w:rsid w:val="00BA5072"/>
    <w:rsid w:val="00BA5ED7"/>
    <w:rsid w:val="00BA6492"/>
    <w:rsid w:val="00BB0BCB"/>
    <w:rsid w:val="00BB1476"/>
    <w:rsid w:val="00BB174D"/>
    <w:rsid w:val="00BB179D"/>
    <w:rsid w:val="00BB20F5"/>
    <w:rsid w:val="00BB31B2"/>
    <w:rsid w:val="00BB4373"/>
    <w:rsid w:val="00BB5C46"/>
    <w:rsid w:val="00BB7EF5"/>
    <w:rsid w:val="00BC0DFF"/>
    <w:rsid w:val="00BC1CD6"/>
    <w:rsid w:val="00BC2436"/>
    <w:rsid w:val="00BC523C"/>
    <w:rsid w:val="00BC6546"/>
    <w:rsid w:val="00BC6B45"/>
    <w:rsid w:val="00BD06C7"/>
    <w:rsid w:val="00BD1074"/>
    <w:rsid w:val="00BD1244"/>
    <w:rsid w:val="00BD17CA"/>
    <w:rsid w:val="00BD56D2"/>
    <w:rsid w:val="00BD5775"/>
    <w:rsid w:val="00BD6B15"/>
    <w:rsid w:val="00BD7A66"/>
    <w:rsid w:val="00BE0582"/>
    <w:rsid w:val="00BE0A61"/>
    <w:rsid w:val="00BE0CF7"/>
    <w:rsid w:val="00BE301A"/>
    <w:rsid w:val="00BE6D37"/>
    <w:rsid w:val="00BF11E5"/>
    <w:rsid w:val="00BF36AD"/>
    <w:rsid w:val="00BF43AE"/>
    <w:rsid w:val="00BF5AB2"/>
    <w:rsid w:val="00BF6F94"/>
    <w:rsid w:val="00BF72CD"/>
    <w:rsid w:val="00C00F19"/>
    <w:rsid w:val="00C042FC"/>
    <w:rsid w:val="00C057DC"/>
    <w:rsid w:val="00C0786E"/>
    <w:rsid w:val="00C116D0"/>
    <w:rsid w:val="00C13D11"/>
    <w:rsid w:val="00C13D5C"/>
    <w:rsid w:val="00C1423F"/>
    <w:rsid w:val="00C14503"/>
    <w:rsid w:val="00C168B0"/>
    <w:rsid w:val="00C17A5D"/>
    <w:rsid w:val="00C219DF"/>
    <w:rsid w:val="00C22189"/>
    <w:rsid w:val="00C22216"/>
    <w:rsid w:val="00C245F1"/>
    <w:rsid w:val="00C32E0C"/>
    <w:rsid w:val="00C33F93"/>
    <w:rsid w:val="00C379CA"/>
    <w:rsid w:val="00C40C7F"/>
    <w:rsid w:val="00C41424"/>
    <w:rsid w:val="00C41793"/>
    <w:rsid w:val="00C43EA3"/>
    <w:rsid w:val="00C44709"/>
    <w:rsid w:val="00C461B6"/>
    <w:rsid w:val="00C46FA8"/>
    <w:rsid w:val="00C50143"/>
    <w:rsid w:val="00C5050F"/>
    <w:rsid w:val="00C5101F"/>
    <w:rsid w:val="00C52CF9"/>
    <w:rsid w:val="00C53D3E"/>
    <w:rsid w:val="00C54C1B"/>
    <w:rsid w:val="00C57640"/>
    <w:rsid w:val="00C6288A"/>
    <w:rsid w:val="00C63343"/>
    <w:rsid w:val="00C63A42"/>
    <w:rsid w:val="00C67015"/>
    <w:rsid w:val="00C70BA5"/>
    <w:rsid w:val="00C72507"/>
    <w:rsid w:val="00C72870"/>
    <w:rsid w:val="00C73214"/>
    <w:rsid w:val="00C7343F"/>
    <w:rsid w:val="00C73B1F"/>
    <w:rsid w:val="00C766C0"/>
    <w:rsid w:val="00C76815"/>
    <w:rsid w:val="00C76C5C"/>
    <w:rsid w:val="00C800A2"/>
    <w:rsid w:val="00C80F7A"/>
    <w:rsid w:val="00C8111E"/>
    <w:rsid w:val="00C81981"/>
    <w:rsid w:val="00C8373F"/>
    <w:rsid w:val="00C8640A"/>
    <w:rsid w:val="00C90247"/>
    <w:rsid w:val="00C90FBE"/>
    <w:rsid w:val="00C92244"/>
    <w:rsid w:val="00C92F3C"/>
    <w:rsid w:val="00C930B5"/>
    <w:rsid w:val="00C97E17"/>
    <w:rsid w:val="00CA19C8"/>
    <w:rsid w:val="00CA1E68"/>
    <w:rsid w:val="00CA259A"/>
    <w:rsid w:val="00CA3E9B"/>
    <w:rsid w:val="00CA3FBB"/>
    <w:rsid w:val="00CA467C"/>
    <w:rsid w:val="00CA5374"/>
    <w:rsid w:val="00CA5546"/>
    <w:rsid w:val="00CA69C2"/>
    <w:rsid w:val="00CB04C6"/>
    <w:rsid w:val="00CB103B"/>
    <w:rsid w:val="00CB3485"/>
    <w:rsid w:val="00CB3982"/>
    <w:rsid w:val="00CB3D9B"/>
    <w:rsid w:val="00CB7915"/>
    <w:rsid w:val="00CC30D0"/>
    <w:rsid w:val="00CC3F81"/>
    <w:rsid w:val="00CC59AE"/>
    <w:rsid w:val="00CC5F24"/>
    <w:rsid w:val="00CD1D80"/>
    <w:rsid w:val="00CD275C"/>
    <w:rsid w:val="00CD7457"/>
    <w:rsid w:val="00CE4315"/>
    <w:rsid w:val="00CE54F3"/>
    <w:rsid w:val="00CE65E9"/>
    <w:rsid w:val="00CE7AE5"/>
    <w:rsid w:val="00CE7E15"/>
    <w:rsid w:val="00CF09F2"/>
    <w:rsid w:val="00CF0A48"/>
    <w:rsid w:val="00CF2683"/>
    <w:rsid w:val="00CF35FA"/>
    <w:rsid w:val="00CF564C"/>
    <w:rsid w:val="00CF57C7"/>
    <w:rsid w:val="00D044AC"/>
    <w:rsid w:val="00D04B2B"/>
    <w:rsid w:val="00D100E9"/>
    <w:rsid w:val="00D10BBD"/>
    <w:rsid w:val="00D10FE3"/>
    <w:rsid w:val="00D11029"/>
    <w:rsid w:val="00D13C51"/>
    <w:rsid w:val="00D141DD"/>
    <w:rsid w:val="00D17257"/>
    <w:rsid w:val="00D222FF"/>
    <w:rsid w:val="00D22FE3"/>
    <w:rsid w:val="00D26AE2"/>
    <w:rsid w:val="00D27640"/>
    <w:rsid w:val="00D305A7"/>
    <w:rsid w:val="00D33208"/>
    <w:rsid w:val="00D3395D"/>
    <w:rsid w:val="00D346DF"/>
    <w:rsid w:val="00D34750"/>
    <w:rsid w:val="00D34A0D"/>
    <w:rsid w:val="00D3562F"/>
    <w:rsid w:val="00D35D52"/>
    <w:rsid w:val="00D40C9F"/>
    <w:rsid w:val="00D423F5"/>
    <w:rsid w:val="00D4619D"/>
    <w:rsid w:val="00D474BB"/>
    <w:rsid w:val="00D52492"/>
    <w:rsid w:val="00D53579"/>
    <w:rsid w:val="00D54E4C"/>
    <w:rsid w:val="00D550A3"/>
    <w:rsid w:val="00D55AD3"/>
    <w:rsid w:val="00D56C61"/>
    <w:rsid w:val="00D6079C"/>
    <w:rsid w:val="00D60A86"/>
    <w:rsid w:val="00D61A61"/>
    <w:rsid w:val="00D63140"/>
    <w:rsid w:val="00D66667"/>
    <w:rsid w:val="00D67384"/>
    <w:rsid w:val="00D70685"/>
    <w:rsid w:val="00D73C2D"/>
    <w:rsid w:val="00D73C7C"/>
    <w:rsid w:val="00D741DD"/>
    <w:rsid w:val="00D7460E"/>
    <w:rsid w:val="00D76382"/>
    <w:rsid w:val="00D779D0"/>
    <w:rsid w:val="00D80425"/>
    <w:rsid w:val="00D81B69"/>
    <w:rsid w:val="00D83FA3"/>
    <w:rsid w:val="00D858FA"/>
    <w:rsid w:val="00D86C4A"/>
    <w:rsid w:val="00D90538"/>
    <w:rsid w:val="00D92074"/>
    <w:rsid w:val="00D971FD"/>
    <w:rsid w:val="00DA68F6"/>
    <w:rsid w:val="00DA7A8F"/>
    <w:rsid w:val="00DA7F21"/>
    <w:rsid w:val="00DB017D"/>
    <w:rsid w:val="00DB02B9"/>
    <w:rsid w:val="00DB0470"/>
    <w:rsid w:val="00DB12C2"/>
    <w:rsid w:val="00DB1610"/>
    <w:rsid w:val="00DB1FD3"/>
    <w:rsid w:val="00DB3C73"/>
    <w:rsid w:val="00DB4949"/>
    <w:rsid w:val="00DB4C25"/>
    <w:rsid w:val="00DB5B23"/>
    <w:rsid w:val="00DB5FBA"/>
    <w:rsid w:val="00DB784A"/>
    <w:rsid w:val="00DB7E9B"/>
    <w:rsid w:val="00DB7EB9"/>
    <w:rsid w:val="00DC28D8"/>
    <w:rsid w:val="00DC2A05"/>
    <w:rsid w:val="00DC488E"/>
    <w:rsid w:val="00DC5F7B"/>
    <w:rsid w:val="00DC6EDE"/>
    <w:rsid w:val="00DC72FA"/>
    <w:rsid w:val="00DC79AC"/>
    <w:rsid w:val="00DC7DDA"/>
    <w:rsid w:val="00DD1435"/>
    <w:rsid w:val="00DD4CBF"/>
    <w:rsid w:val="00DD5E1D"/>
    <w:rsid w:val="00DD6295"/>
    <w:rsid w:val="00DD652E"/>
    <w:rsid w:val="00DD7B4A"/>
    <w:rsid w:val="00DE4F50"/>
    <w:rsid w:val="00DE573F"/>
    <w:rsid w:val="00DF00C9"/>
    <w:rsid w:val="00DF1314"/>
    <w:rsid w:val="00DF169A"/>
    <w:rsid w:val="00DF2711"/>
    <w:rsid w:val="00DF3691"/>
    <w:rsid w:val="00DF5C29"/>
    <w:rsid w:val="00DF79EA"/>
    <w:rsid w:val="00DF7A98"/>
    <w:rsid w:val="00E001F1"/>
    <w:rsid w:val="00E008B5"/>
    <w:rsid w:val="00E01A6C"/>
    <w:rsid w:val="00E01A7E"/>
    <w:rsid w:val="00E01B0E"/>
    <w:rsid w:val="00E02F96"/>
    <w:rsid w:val="00E0335D"/>
    <w:rsid w:val="00E03BAD"/>
    <w:rsid w:val="00E05D6E"/>
    <w:rsid w:val="00E06D11"/>
    <w:rsid w:val="00E104F4"/>
    <w:rsid w:val="00E1100A"/>
    <w:rsid w:val="00E11ED7"/>
    <w:rsid w:val="00E13BE9"/>
    <w:rsid w:val="00E16DD4"/>
    <w:rsid w:val="00E17740"/>
    <w:rsid w:val="00E17AC3"/>
    <w:rsid w:val="00E23B09"/>
    <w:rsid w:val="00E23CD2"/>
    <w:rsid w:val="00E25FCA"/>
    <w:rsid w:val="00E26061"/>
    <w:rsid w:val="00E27E1D"/>
    <w:rsid w:val="00E301E6"/>
    <w:rsid w:val="00E30251"/>
    <w:rsid w:val="00E3177F"/>
    <w:rsid w:val="00E34D62"/>
    <w:rsid w:val="00E353F1"/>
    <w:rsid w:val="00E35424"/>
    <w:rsid w:val="00E35432"/>
    <w:rsid w:val="00E36FB0"/>
    <w:rsid w:val="00E40455"/>
    <w:rsid w:val="00E451B2"/>
    <w:rsid w:val="00E4561E"/>
    <w:rsid w:val="00E46BCE"/>
    <w:rsid w:val="00E47354"/>
    <w:rsid w:val="00E47FEF"/>
    <w:rsid w:val="00E503C1"/>
    <w:rsid w:val="00E52528"/>
    <w:rsid w:val="00E52B99"/>
    <w:rsid w:val="00E54C13"/>
    <w:rsid w:val="00E55A7D"/>
    <w:rsid w:val="00E55EA4"/>
    <w:rsid w:val="00E62939"/>
    <w:rsid w:val="00E643CD"/>
    <w:rsid w:val="00E650F9"/>
    <w:rsid w:val="00E6569A"/>
    <w:rsid w:val="00E65EE0"/>
    <w:rsid w:val="00E663F3"/>
    <w:rsid w:val="00E66C8B"/>
    <w:rsid w:val="00E66F89"/>
    <w:rsid w:val="00E678F6"/>
    <w:rsid w:val="00E703FD"/>
    <w:rsid w:val="00E752E6"/>
    <w:rsid w:val="00E76D3D"/>
    <w:rsid w:val="00E82F36"/>
    <w:rsid w:val="00E840CE"/>
    <w:rsid w:val="00E84F89"/>
    <w:rsid w:val="00E8502B"/>
    <w:rsid w:val="00E86788"/>
    <w:rsid w:val="00E87F71"/>
    <w:rsid w:val="00E9059B"/>
    <w:rsid w:val="00E91298"/>
    <w:rsid w:val="00E91947"/>
    <w:rsid w:val="00E91E34"/>
    <w:rsid w:val="00E95421"/>
    <w:rsid w:val="00E9630F"/>
    <w:rsid w:val="00EA0326"/>
    <w:rsid w:val="00EA3687"/>
    <w:rsid w:val="00EA37E9"/>
    <w:rsid w:val="00EA5171"/>
    <w:rsid w:val="00EA6BDB"/>
    <w:rsid w:val="00EB121F"/>
    <w:rsid w:val="00EB61DC"/>
    <w:rsid w:val="00EB6CED"/>
    <w:rsid w:val="00EC0250"/>
    <w:rsid w:val="00EC16B8"/>
    <w:rsid w:val="00EC319D"/>
    <w:rsid w:val="00EC319F"/>
    <w:rsid w:val="00EC3491"/>
    <w:rsid w:val="00EC42D0"/>
    <w:rsid w:val="00EC450A"/>
    <w:rsid w:val="00EC4759"/>
    <w:rsid w:val="00ED087B"/>
    <w:rsid w:val="00ED1314"/>
    <w:rsid w:val="00ED3FE5"/>
    <w:rsid w:val="00ED4315"/>
    <w:rsid w:val="00ED4D50"/>
    <w:rsid w:val="00ED62AF"/>
    <w:rsid w:val="00ED7072"/>
    <w:rsid w:val="00EE0C54"/>
    <w:rsid w:val="00EE24CA"/>
    <w:rsid w:val="00EE314D"/>
    <w:rsid w:val="00EE340E"/>
    <w:rsid w:val="00EE34A6"/>
    <w:rsid w:val="00EE4FE3"/>
    <w:rsid w:val="00EE547D"/>
    <w:rsid w:val="00EE598B"/>
    <w:rsid w:val="00EE67BD"/>
    <w:rsid w:val="00EE77D0"/>
    <w:rsid w:val="00EF0B04"/>
    <w:rsid w:val="00EF3C86"/>
    <w:rsid w:val="00EF42B6"/>
    <w:rsid w:val="00EF5398"/>
    <w:rsid w:val="00EF5F19"/>
    <w:rsid w:val="00EF61D8"/>
    <w:rsid w:val="00EF6C28"/>
    <w:rsid w:val="00EF7B0F"/>
    <w:rsid w:val="00F01B3C"/>
    <w:rsid w:val="00F0332D"/>
    <w:rsid w:val="00F03DA0"/>
    <w:rsid w:val="00F07552"/>
    <w:rsid w:val="00F10340"/>
    <w:rsid w:val="00F11F83"/>
    <w:rsid w:val="00F134A9"/>
    <w:rsid w:val="00F14951"/>
    <w:rsid w:val="00F15441"/>
    <w:rsid w:val="00F162E5"/>
    <w:rsid w:val="00F178D2"/>
    <w:rsid w:val="00F20800"/>
    <w:rsid w:val="00F21363"/>
    <w:rsid w:val="00F21698"/>
    <w:rsid w:val="00F22D0B"/>
    <w:rsid w:val="00F23231"/>
    <w:rsid w:val="00F26D2B"/>
    <w:rsid w:val="00F27686"/>
    <w:rsid w:val="00F31490"/>
    <w:rsid w:val="00F32E9C"/>
    <w:rsid w:val="00F32FE8"/>
    <w:rsid w:val="00F353C1"/>
    <w:rsid w:val="00F365B1"/>
    <w:rsid w:val="00F36F13"/>
    <w:rsid w:val="00F36F56"/>
    <w:rsid w:val="00F3746B"/>
    <w:rsid w:val="00F37B3F"/>
    <w:rsid w:val="00F37BFD"/>
    <w:rsid w:val="00F40803"/>
    <w:rsid w:val="00F41219"/>
    <w:rsid w:val="00F41CEB"/>
    <w:rsid w:val="00F4453A"/>
    <w:rsid w:val="00F45AC8"/>
    <w:rsid w:val="00F463F8"/>
    <w:rsid w:val="00F47158"/>
    <w:rsid w:val="00F50207"/>
    <w:rsid w:val="00F50231"/>
    <w:rsid w:val="00F51F54"/>
    <w:rsid w:val="00F53224"/>
    <w:rsid w:val="00F53FFE"/>
    <w:rsid w:val="00F55BEC"/>
    <w:rsid w:val="00F567F9"/>
    <w:rsid w:val="00F56949"/>
    <w:rsid w:val="00F57111"/>
    <w:rsid w:val="00F604A8"/>
    <w:rsid w:val="00F61046"/>
    <w:rsid w:val="00F62CF5"/>
    <w:rsid w:val="00F64600"/>
    <w:rsid w:val="00F648D5"/>
    <w:rsid w:val="00F67BBF"/>
    <w:rsid w:val="00F70B95"/>
    <w:rsid w:val="00F7132B"/>
    <w:rsid w:val="00F7373A"/>
    <w:rsid w:val="00F74187"/>
    <w:rsid w:val="00F74686"/>
    <w:rsid w:val="00F75530"/>
    <w:rsid w:val="00F75654"/>
    <w:rsid w:val="00F767BD"/>
    <w:rsid w:val="00F80089"/>
    <w:rsid w:val="00F83CB6"/>
    <w:rsid w:val="00F93C72"/>
    <w:rsid w:val="00F97313"/>
    <w:rsid w:val="00F97ED8"/>
    <w:rsid w:val="00FA028B"/>
    <w:rsid w:val="00FA10DD"/>
    <w:rsid w:val="00FA194C"/>
    <w:rsid w:val="00FA3CC8"/>
    <w:rsid w:val="00FA41A2"/>
    <w:rsid w:val="00FA6C44"/>
    <w:rsid w:val="00FA6E84"/>
    <w:rsid w:val="00FB0328"/>
    <w:rsid w:val="00FB09DE"/>
    <w:rsid w:val="00FB2CAE"/>
    <w:rsid w:val="00FB508D"/>
    <w:rsid w:val="00FB5A69"/>
    <w:rsid w:val="00FB612D"/>
    <w:rsid w:val="00FC0920"/>
    <w:rsid w:val="00FC0960"/>
    <w:rsid w:val="00FC12CF"/>
    <w:rsid w:val="00FC2CC5"/>
    <w:rsid w:val="00FC7496"/>
    <w:rsid w:val="00FC7798"/>
    <w:rsid w:val="00FC7FDE"/>
    <w:rsid w:val="00FD3368"/>
    <w:rsid w:val="00FD4B82"/>
    <w:rsid w:val="00FD5211"/>
    <w:rsid w:val="00FD5D8F"/>
    <w:rsid w:val="00FD62B9"/>
    <w:rsid w:val="00FD63E5"/>
    <w:rsid w:val="00FE040C"/>
    <w:rsid w:val="00FE0682"/>
    <w:rsid w:val="00FE10CA"/>
    <w:rsid w:val="00FE250A"/>
    <w:rsid w:val="00FE301C"/>
    <w:rsid w:val="00FE394E"/>
    <w:rsid w:val="00FE6322"/>
    <w:rsid w:val="00FF00C3"/>
    <w:rsid w:val="00FF0161"/>
    <w:rsid w:val="00FF0A5D"/>
    <w:rsid w:val="00FF1268"/>
    <w:rsid w:val="00FF6AF2"/>
    <w:rsid w:val="00FF767F"/>
    <w:rsid w:val="00FF7858"/>
    <w:rsid w:val="018C09B5"/>
    <w:rsid w:val="02067703"/>
    <w:rsid w:val="024105A8"/>
    <w:rsid w:val="02636297"/>
    <w:rsid w:val="02B51AF0"/>
    <w:rsid w:val="030D3AAB"/>
    <w:rsid w:val="034137DB"/>
    <w:rsid w:val="035E0576"/>
    <w:rsid w:val="035F40D6"/>
    <w:rsid w:val="039E6CC7"/>
    <w:rsid w:val="03C12A8F"/>
    <w:rsid w:val="03FF64B8"/>
    <w:rsid w:val="04042536"/>
    <w:rsid w:val="044A0C6D"/>
    <w:rsid w:val="04862649"/>
    <w:rsid w:val="04BF3DEA"/>
    <w:rsid w:val="050E2B67"/>
    <w:rsid w:val="05241A70"/>
    <w:rsid w:val="05270129"/>
    <w:rsid w:val="057C0415"/>
    <w:rsid w:val="05843E16"/>
    <w:rsid w:val="059560A4"/>
    <w:rsid w:val="06084713"/>
    <w:rsid w:val="065C5B0F"/>
    <w:rsid w:val="06803E9C"/>
    <w:rsid w:val="06BA29D4"/>
    <w:rsid w:val="06CD4D5B"/>
    <w:rsid w:val="06DA33E5"/>
    <w:rsid w:val="071C1859"/>
    <w:rsid w:val="073500A1"/>
    <w:rsid w:val="075518CC"/>
    <w:rsid w:val="075E4865"/>
    <w:rsid w:val="077A291A"/>
    <w:rsid w:val="07930BAE"/>
    <w:rsid w:val="07CA40CE"/>
    <w:rsid w:val="07D72D2C"/>
    <w:rsid w:val="08116FA6"/>
    <w:rsid w:val="08175AD9"/>
    <w:rsid w:val="087E6639"/>
    <w:rsid w:val="08D61215"/>
    <w:rsid w:val="08E00DE2"/>
    <w:rsid w:val="099F2AB5"/>
    <w:rsid w:val="09CF7CB1"/>
    <w:rsid w:val="09DD663C"/>
    <w:rsid w:val="0A7660D1"/>
    <w:rsid w:val="0A916B57"/>
    <w:rsid w:val="0AAB696A"/>
    <w:rsid w:val="0ABF0837"/>
    <w:rsid w:val="0B1857A2"/>
    <w:rsid w:val="0B3D65BF"/>
    <w:rsid w:val="0B5A08F4"/>
    <w:rsid w:val="0B637346"/>
    <w:rsid w:val="0B7C2CA1"/>
    <w:rsid w:val="0BD91977"/>
    <w:rsid w:val="0BF405A1"/>
    <w:rsid w:val="0C170BD7"/>
    <w:rsid w:val="0C334162"/>
    <w:rsid w:val="0C5C03B1"/>
    <w:rsid w:val="0C7356AE"/>
    <w:rsid w:val="0CB04836"/>
    <w:rsid w:val="0CB336D6"/>
    <w:rsid w:val="0D2E69F3"/>
    <w:rsid w:val="0D9C2ECB"/>
    <w:rsid w:val="0DC25960"/>
    <w:rsid w:val="0DC803B1"/>
    <w:rsid w:val="0F201988"/>
    <w:rsid w:val="0F4B4929"/>
    <w:rsid w:val="0FAF5C32"/>
    <w:rsid w:val="10A44AEE"/>
    <w:rsid w:val="10C804C9"/>
    <w:rsid w:val="11175B78"/>
    <w:rsid w:val="118E0005"/>
    <w:rsid w:val="11933CDE"/>
    <w:rsid w:val="11A27754"/>
    <w:rsid w:val="11A41F42"/>
    <w:rsid w:val="12613D67"/>
    <w:rsid w:val="1289474E"/>
    <w:rsid w:val="12BB7E65"/>
    <w:rsid w:val="12C60713"/>
    <w:rsid w:val="12D6787C"/>
    <w:rsid w:val="12F8297E"/>
    <w:rsid w:val="133A57AA"/>
    <w:rsid w:val="133D56A8"/>
    <w:rsid w:val="13736771"/>
    <w:rsid w:val="13AD189E"/>
    <w:rsid w:val="13C81EFF"/>
    <w:rsid w:val="146244D2"/>
    <w:rsid w:val="146B0632"/>
    <w:rsid w:val="14DE3F62"/>
    <w:rsid w:val="15134D0F"/>
    <w:rsid w:val="151A6FC8"/>
    <w:rsid w:val="159C3F17"/>
    <w:rsid w:val="15A818A0"/>
    <w:rsid w:val="15B77989"/>
    <w:rsid w:val="16212406"/>
    <w:rsid w:val="16CD0E5C"/>
    <w:rsid w:val="17203829"/>
    <w:rsid w:val="17705453"/>
    <w:rsid w:val="17C16A6E"/>
    <w:rsid w:val="17C17156"/>
    <w:rsid w:val="17EF12BB"/>
    <w:rsid w:val="180B6318"/>
    <w:rsid w:val="189D1409"/>
    <w:rsid w:val="18B41D13"/>
    <w:rsid w:val="196F20B3"/>
    <w:rsid w:val="199644DE"/>
    <w:rsid w:val="1A081D25"/>
    <w:rsid w:val="1A0E1132"/>
    <w:rsid w:val="1A116B7B"/>
    <w:rsid w:val="1A6A1EAB"/>
    <w:rsid w:val="1A887B53"/>
    <w:rsid w:val="1A8E799B"/>
    <w:rsid w:val="1AC634BA"/>
    <w:rsid w:val="1AE515B9"/>
    <w:rsid w:val="1AE71EAA"/>
    <w:rsid w:val="1B584130"/>
    <w:rsid w:val="1B5906C9"/>
    <w:rsid w:val="1BBD564F"/>
    <w:rsid w:val="1BD661DC"/>
    <w:rsid w:val="1C3D54E2"/>
    <w:rsid w:val="1C443EBC"/>
    <w:rsid w:val="1C4D18EC"/>
    <w:rsid w:val="1C784868"/>
    <w:rsid w:val="1CC0545F"/>
    <w:rsid w:val="1CF61B5E"/>
    <w:rsid w:val="1D0713B9"/>
    <w:rsid w:val="1D350FC3"/>
    <w:rsid w:val="1D552581"/>
    <w:rsid w:val="1D5B706F"/>
    <w:rsid w:val="1D9507EE"/>
    <w:rsid w:val="1E2F4838"/>
    <w:rsid w:val="1E2F792B"/>
    <w:rsid w:val="1E5A39FD"/>
    <w:rsid w:val="1E903471"/>
    <w:rsid w:val="1EBC329E"/>
    <w:rsid w:val="1F3E19B6"/>
    <w:rsid w:val="1F7A36CF"/>
    <w:rsid w:val="2013212B"/>
    <w:rsid w:val="20344BB0"/>
    <w:rsid w:val="203E0FBE"/>
    <w:rsid w:val="205256A2"/>
    <w:rsid w:val="20B91BC6"/>
    <w:rsid w:val="20E51AB5"/>
    <w:rsid w:val="210C4CF6"/>
    <w:rsid w:val="213D7A3C"/>
    <w:rsid w:val="21820FE5"/>
    <w:rsid w:val="2209392C"/>
    <w:rsid w:val="22252F00"/>
    <w:rsid w:val="223276C2"/>
    <w:rsid w:val="2255761B"/>
    <w:rsid w:val="22724782"/>
    <w:rsid w:val="22B2338C"/>
    <w:rsid w:val="2313083A"/>
    <w:rsid w:val="232C621D"/>
    <w:rsid w:val="237E1871"/>
    <w:rsid w:val="23E64A27"/>
    <w:rsid w:val="240047DB"/>
    <w:rsid w:val="241D5F42"/>
    <w:rsid w:val="24261888"/>
    <w:rsid w:val="2477359E"/>
    <w:rsid w:val="24AF7FC5"/>
    <w:rsid w:val="24E42674"/>
    <w:rsid w:val="250218BB"/>
    <w:rsid w:val="2544271F"/>
    <w:rsid w:val="26065949"/>
    <w:rsid w:val="260F5DEC"/>
    <w:rsid w:val="268010DA"/>
    <w:rsid w:val="268719C5"/>
    <w:rsid w:val="26921BF8"/>
    <w:rsid w:val="26B441FF"/>
    <w:rsid w:val="27013FDE"/>
    <w:rsid w:val="27290DA0"/>
    <w:rsid w:val="27444C31"/>
    <w:rsid w:val="277B0177"/>
    <w:rsid w:val="27C744FF"/>
    <w:rsid w:val="28035937"/>
    <w:rsid w:val="28060E0A"/>
    <w:rsid w:val="2838360A"/>
    <w:rsid w:val="2862271E"/>
    <w:rsid w:val="287A3270"/>
    <w:rsid w:val="28B56F23"/>
    <w:rsid w:val="28BA6EC0"/>
    <w:rsid w:val="28E40D50"/>
    <w:rsid w:val="292C11D6"/>
    <w:rsid w:val="29441D49"/>
    <w:rsid w:val="29B52B8E"/>
    <w:rsid w:val="29B8511A"/>
    <w:rsid w:val="29F00719"/>
    <w:rsid w:val="2A5F1881"/>
    <w:rsid w:val="2A6014D1"/>
    <w:rsid w:val="2A6D288A"/>
    <w:rsid w:val="2A806718"/>
    <w:rsid w:val="2AC62D09"/>
    <w:rsid w:val="2AE05649"/>
    <w:rsid w:val="2BF52DE1"/>
    <w:rsid w:val="2C6A7FF4"/>
    <w:rsid w:val="2C7038BF"/>
    <w:rsid w:val="2CB239CC"/>
    <w:rsid w:val="2CB66BCB"/>
    <w:rsid w:val="2CFE333A"/>
    <w:rsid w:val="2D3D3190"/>
    <w:rsid w:val="2D5D6E1B"/>
    <w:rsid w:val="2DA16F2F"/>
    <w:rsid w:val="2DBC4473"/>
    <w:rsid w:val="2DE101FB"/>
    <w:rsid w:val="2E426B8A"/>
    <w:rsid w:val="2E992CD3"/>
    <w:rsid w:val="2F2D561A"/>
    <w:rsid w:val="2F4940B1"/>
    <w:rsid w:val="2F4C7431"/>
    <w:rsid w:val="2F633057"/>
    <w:rsid w:val="30000F46"/>
    <w:rsid w:val="301A56BF"/>
    <w:rsid w:val="3027540D"/>
    <w:rsid w:val="30654E1E"/>
    <w:rsid w:val="306B4D3D"/>
    <w:rsid w:val="3125418F"/>
    <w:rsid w:val="314F3AFF"/>
    <w:rsid w:val="31AA5D54"/>
    <w:rsid w:val="31B12B87"/>
    <w:rsid w:val="31B54462"/>
    <w:rsid w:val="31FC221A"/>
    <w:rsid w:val="32552A92"/>
    <w:rsid w:val="32917C3C"/>
    <w:rsid w:val="32E77F1B"/>
    <w:rsid w:val="333B31D6"/>
    <w:rsid w:val="33E63E4B"/>
    <w:rsid w:val="343B11A5"/>
    <w:rsid w:val="345F68A7"/>
    <w:rsid w:val="34760253"/>
    <w:rsid w:val="347E752F"/>
    <w:rsid w:val="34B539CE"/>
    <w:rsid w:val="34B87987"/>
    <w:rsid w:val="34F024D9"/>
    <w:rsid w:val="35004A54"/>
    <w:rsid w:val="35464267"/>
    <w:rsid w:val="35496E9D"/>
    <w:rsid w:val="3578542F"/>
    <w:rsid w:val="357F7380"/>
    <w:rsid w:val="35BE115A"/>
    <w:rsid w:val="36105686"/>
    <w:rsid w:val="365730C8"/>
    <w:rsid w:val="36932186"/>
    <w:rsid w:val="36F83686"/>
    <w:rsid w:val="374D0E0E"/>
    <w:rsid w:val="37560417"/>
    <w:rsid w:val="37B7091F"/>
    <w:rsid w:val="37B7123C"/>
    <w:rsid w:val="37BE1D9D"/>
    <w:rsid w:val="37E2347F"/>
    <w:rsid w:val="38D717CE"/>
    <w:rsid w:val="38F7162E"/>
    <w:rsid w:val="38F921BB"/>
    <w:rsid w:val="396721A9"/>
    <w:rsid w:val="39BB5158"/>
    <w:rsid w:val="3A057C48"/>
    <w:rsid w:val="3A3E2CE0"/>
    <w:rsid w:val="3A601EFD"/>
    <w:rsid w:val="3AD538D1"/>
    <w:rsid w:val="3B1B41AF"/>
    <w:rsid w:val="3BB77C94"/>
    <w:rsid w:val="3C0C2B3D"/>
    <w:rsid w:val="3C512F75"/>
    <w:rsid w:val="3CD95EED"/>
    <w:rsid w:val="3CE258DE"/>
    <w:rsid w:val="3D193EBC"/>
    <w:rsid w:val="3D3B196C"/>
    <w:rsid w:val="3D631277"/>
    <w:rsid w:val="3E0D6138"/>
    <w:rsid w:val="3E0F47E0"/>
    <w:rsid w:val="3EBB5357"/>
    <w:rsid w:val="3EF42277"/>
    <w:rsid w:val="3EFB604C"/>
    <w:rsid w:val="3F076B4F"/>
    <w:rsid w:val="3F091F39"/>
    <w:rsid w:val="3F90310A"/>
    <w:rsid w:val="3F9053F8"/>
    <w:rsid w:val="3F9D47DB"/>
    <w:rsid w:val="3FA7257C"/>
    <w:rsid w:val="3FD830C3"/>
    <w:rsid w:val="3FF41673"/>
    <w:rsid w:val="40004C92"/>
    <w:rsid w:val="400B2F37"/>
    <w:rsid w:val="402734C6"/>
    <w:rsid w:val="402E169A"/>
    <w:rsid w:val="4076545A"/>
    <w:rsid w:val="40B761A3"/>
    <w:rsid w:val="414C5BC6"/>
    <w:rsid w:val="41997B3B"/>
    <w:rsid w:val="41B6002E"/>
    <w:rsid w:val="41F93845"/>
    <w:rsid w:val="421915C1"/>
    <w:rsid w:val="42E8188B"/>
    <w:rsid w:val="432A54BC"/>
    <w:rsid w:val="435763DD"/>
    <w:rsid w:val="43A76A7E"/>
    <w:rsid w:val="43AE50A9"/>
    <w:rsid w:val="43C14A68"/>
    <w:rsid w:val="43CA7E7A"/>
    <w:rsid w:val="43CF4224"/>
    <w:rsid w:val="44292936"/>
    <w:rsid w:val="442D3AC9"/>
    <w:rsid w:val="447E24F9"/>
    <w:rsid w:val="448A6150"/>
    <w:rsid w:val="44C07A78"/>
    <w:rsid w:val="454B2145"/>
    <w:rsid w:val="454F310B"/>
    <w:rsid w:val="455627C6"/>
    <w:rsid w:val="46974818"/>
    <w:rsid w:val="469A624E"/>
    <w:rsid w:val="46EB48AB"/>
    <w:rsid w:val="475400FA"/>
    <w:rsid w:val="47C82430"/>
    <w:rsid w:val="47D92BA6"/>
    <w:rsid w:val="47EE6D27"/>
    <w:rsid w:val="47F055F5"/>
    <w:rsid w:val="48AC59F8"/>
    <w:rsid w:val="48E76D1E"/>
    <w:rsid w:val="48F85B8E"/>
    <w:rsid w:val="49503AB5"/>
    <w:rsid w:val="49D602D6"/>
    <w:rsid w:val="4A2C0B34"/>
    <w:rsid w:val="4A3978DC"/>
    <w:rsid w:val="4A48635E"/>
    <w:rsid w:val="4B0F20B5"/>
    <w:rsid w:val="4B665B0D"/>
    <w:rsid w:val="4B856238"/>
    <w:rsid w:val="4CB20C3C"/>
    <w:rsid w:val="4D32574A"/>
    <w:rsid w:val="4D7F221E"/>
    <w:rsid w:val="4DC60885"/>
    <w:rsid w:val="4E1F5229"/>
    <w:rsid w:val="4E282BF2"/>
    <w:rsid w:val="4E7F377A"/>
    <w:rsid w:val="4EBF027F"/>
    <w:rsid w:val="4EC54491"/>
    <w:rsid w:val="4F961BEF"/>
    <w:rsid w:val="4F9A14B7"/>
    <w:rsid w:val="4FC92F8E"/>
    <w:rsid w:val="503A16D9"/>
    <w:rsid w:val="503C68A2"/>
    <w:rsid w:val="504F4F82"/>
    <w:rsid w:val="51364D08"/>
    <w:rsid w:val="513F3CED"/>
    <w:rsid w:val="514762B4"/>
    <w:rsid w:val="517A00A2"/>
    <w:rsid w:val="51860D37"/>
    <w:rsid w:val="51CC49C0"/>
    <w:rsid w:val="521F78CD"/>
    <w:rsid w:val="52A729EC"/>
    <w:rsid w:val="52D84ADD"/>
    <w:rsid w:val="52FE5709"/>
    <w:rsid w:val="53261032"/>
    <w:rsid w:val="532E2FCB"/>
    <w:rsid w:val="535F09B6"/>
    <w:rsid w:val="53A560CD"/>
    <w:rsid w:val="53D66F21"/>
    <w:rsid w:val="53DC77C4"/>
    <w:rsid w:val="544C7204"/>
    <w:rsid w:val="54542615"/>
    <w:rsid w:val="545720B6"/>
    <w:rsid w:val="54A02039"/>
    <w:rsid w:val="54B8170E"/>
    <w:rsid w:val="550C1999"/>
    <w:rsid w:val="55314F3A"/>
    <w:rsid w:val="55735303"/>
    <w:rsid w:val="55C063B8"/>
    <w:rsid w:val="55CC573A"/>
    <w:rsid w:val="5608615D"/>
    <w:rsid w:val="563632DB"/>
    <w:rsid w:val="5660220F"/>
    <w:rsid w:val="56B2493D"/>
    <w:rsid w:val="56CF255C"/>
    <w:rsid w:val="56F43E7F"/>
    <w:rsid w:val="57146E7F"/>
    <w:rsid w:val="57AC1ACF"/>
    <w:rsid w:val="57BC706C"/>
    <w:rsid w:val="57CD39C1"/>
    <w:rsid w:val="57CE5DE2"/>
    <w:rsid w:val="57D137AA"/>
    <w:rsid w:val="581B6BF8"/>
    <w:rsid w:val="58E40B06"/>
    <w:rsid w:val="5916451E"/>
    <w:rsid w:val="593A5F40"/>
    <w:rsid w:val="59C75E27"/>
    <w:rsid w:val="59CB70EB"/>
    <w:rsid w:val="59DF7385"/>
    <w:rsid w:val="5A114318"/>
    <w:rsid w:val="5A5271BB"/>
    <w:rsid w:val="5A843126"/>
    <w:rsid w:val="5ABA00F5"/>
    <w:rsid w:val="5AEC53AA"/>
    <w:rsid w:val="5B1A3D2C"/>
    <w:rsid w:val="5B404055"/>
    <w:rsid w:val="5B993CB4"/>
    <w:rsid w:val="5BCE216E"/>
    <w:rsid w:val="5C0E0408"/>
    <w:rsid w:val="5C2E3CCE"/>
    <w:rsid w:val="5C3B0050"/>
    <w:rsid w:val="5C4E33D5"/>
    <w:rsid w:val="5C636EAF"/>
    <w:rsid w:val="5C736DE5"/>
    <w:rsid w:val="5CAD14D5"/>
    <w:rsid w:val="5DD11CBE"/>
    <w:rsid w:val="5E4779EA"/>
    <w:rsid w:val="5E52572C"/>
    <w:rsid w:val="5ED30B39"/>
    <w:rsid w:val="5EF1385D"/>
    <w:rsid w:val="5F6214EB"/>
    <w:rsid w:val="60250981"/>
    <w:rsid w:val="602767B7"/>
    <w:rsid w:val="605C1A0F"/>
    <w:rsid w:val="606D4739"/>
    <w:rsid w:val="60E80F1B"/>
    <w:rsid w:val="60E9187E"/>
    <w:rsid w:val="616339AA"/>
    <w:rsid w:val="619438C2"/>
    <w:rsid w:val="61A44A26"/>
    <w:rsid w:val="61E922E1"/>
    <w:rsid w:val="62CE482B"/>
    <w:rsid w:val="62EB2B29"/>
    <w:rsid w:val="631E522A"/>
    <w:rsid w:val="634C0B47"/>
    <w:rsid w:val="63560AAC"/>
    <w:rsid w:val="63CE459F"/>
    <w:rsid w:val="64622239"/>
    <w:rsid w:val="649E3EEA"/>
    <w:rsid w:val="650A3CD0"/>
    <w:rsid w:val="651E3FE5"/>
    <w:rsid w:val="6554408E"/>
    <w:rsid w:val="65740A1C"/>
    <w:rsid w:val="65A7376B"/>
    <w:rsid w:val="661A13D5"/>
    <w:rsid w:val="6635144E"/>
    <w:rsid w:val="663813B5"/>
    <w:rsid w:val="66E60D46"/>
    <w:rsid w:val="67154444"/>
    <w:rsid w:val="67587DA2"/>
    <w:rsid w:val="675A6EFC"/>
    <w:rsid w:val="675B10B9"/>
    <w:rsid w:val="679609FC"/>
    <w:rsid w:val="6874151B"/>
    <w:rsid w:val="68886905"/>
    <w:rsid w:val="688D6784"/>
    <w:rsid w:val="68BA4B59"/>
    <w:rsid w:val="69336DB7"/>
    <w:rsid w:val="697B29D1"/>
    <w:rsid w:val="6997703E"/>
    <w:rsid w:val="69A430B8"/>
    <w:rsid w:val="6A9A4443"/>
    <w:rsid w:val="6AE27020"/>
    <w:rsid w:val="6BF21D5F"/>
    <w:rsid w:val="6CA73DD1"/>
    <w:rsid w:val="6D080FF5"/>
    <w:rsid w:val="6D7673BB"/>
    <w:rsid w:val="6D951D16"/>
    <w:rsid w:val="6E2261D0"/>
    <w:rsid w:val="6E7D3D2C"/>
    <w:rsid w:val="6EBA280F"/>
    <w:rsid w:val="6EFA77BC"/>
    <w:rsid w:val="6F32543A"/>
    <w:rsid w:val="6F6F6385"/>
    <w:rsid w:val="70011B9A"/>
    <w:rsid w:val="703F6551"/>
    <w:rsid w:val="705E3175"/>
    <w:rsid w:val="708D20D3"/>
    <w:rsid w:val="70D3051E"/>
    <w:rsid w:val="710C7D70"/>
    <w:rsid w:val="71442A67"/>
    <w:rsid w:val="7147173B"/>
    <w:rsid w:val="7165176B"/>
    <w:rsid w:val="71B3554C"/>
    <w:rsid w:val="71E94959"/>
    <w:rsid w:val="72C27AD2"/>
    <w:rsid w:val="72E827D3"/>
    <w:rsid w:val="732A30A2"/>
    <w:rsid w:val="73570B9E"/>
    <w:rsid w:val="736F5FF4"/>
    <w:rsid w:val="737E369A"/>
    <w:rsid w:val="738C6345"/>
    <w:rsid w:val="739A4556"/>
    <w:rsid w:val="739B69A3"/>
    <w:rsid w:val="739E0B92"/>
    <w:rsid w:val="73AD6DD4"/>
    <w:rsid w:val="74D56887"/>
    <w:rsid w:val="74E22D2A"/>
    <w:rsid w:val="752328A3"/>
    <w:rsid w:val="753436AC"/>
    <w:rsid w:val="755B1F8B"/>
    <w:rsid w:val="7578500A"/>
    <w:rsid w:val="76527910"/>
    <w:rsid w:val="76552050"/>
    <w:rsid w:val="76BB2C64"/>
    <w:rsid w:val="76C92589"/>
    <w:rsid w:val="775C5C11"/>
    <w:rsid w:val="775D7A09"/>
    <w:rsid w:val="7791510B"/>
    <w:rsid w:val="78440842"/>
    <w:rsid w:val="78591374"/>
    <w:rsid w:val="7881625E"/>
    <w:rsid w:val="78E33644"/>
    <w:rsid w:val="790F032E"/>
    <w:rsid w:val="793B0B3D"/>
    <w:rsid w:val="79443B04"/>
    <w:rsid w:val="7982529B"/>
    <w:rsid w:val="799C7B87"/>
    <w:rsid w:val="79AD070E"/>
    <w:rsid w:val="79E067B6"/>
    <w:rsid w:val="7A3164BB"/>
    <w:rsid w:val="7A53409B"/>
    <w:rsid w:val="7A6707E1"/>
    <w:rsid w:val="7A720884"/>
    <w:rsid w:val="7A7746EC"/>
    <w:rsid w:val="7A9A27A9"/>
    <w:rsid w:val="7AF1638D"/>
    <w:rsid w:val="7B2D49CA"/>
    <w:rsid w:val="7B8651EB"/>
    <w:rsid w:val="7BB87DEA"/>
    <w:rsid w:val="7BD85FBC"/>
    <w:rsid w:val="7BE151FB"/>
    <w:rsid w:val="7C160415"/>
    <w:rsid w:val="7C832374"/>
    <w:rsid w:val="7CB346EA"/>
    <w:rsid w:val="7CEA1741"/>
    <w:rsid w:val="7D0E3DFC"/>
    <w:rsid w:val="7D20455A"/>
    <w:rsid w:val="7DB1361C"/>
    <w:rsid w:val="7DDC7726"/>
    <w:rsid w:val="7E0D31AE"/>
    <w:rsid w:val="7E121EF4"/>
    <w:rsid w:val="7E6530DE"/>
    <w:rsid w:val="7EED084F"/>
    <w:rsid w:val="7F981091"/>
    <w:rsid w:val="7FBF6EED"/>
    <w:rsid w:val="7FC61FF4"/>
    <w:rsid w:val="7FF902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MingLiU" w:hAnsi="PMingLiU" w:eastAsia="PMingLiU" w:cs="PMingLiU"/>
      <w:sz w:val="22"/>
      <w:szCs w:val="22"/>
      <w:lang w:val="zh-CN" w:eastAsia="zh-CN" w:bidi="zh-CN"/>
    </w:rPr>
  </w:style>
  <w:style w:type="paragraph" w:styleId="2">
    <w:name w:val="heading 1"/>
    <w:basedOn w:val="1"/>
    <w:next w:val="1"/>
    <w:qFormat/>
    <w:uiPriority w:val="1"/>
    <w:pPr>
      <w:spacing w:before="38"/>
      <w:ind w:left="557" w:hanging="884"/>
      <w:outlineLvl w:val="0"/>
    </w:pPr>
    <w:rPr>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ind w:left="167"/>
    </w:pPr>
    <w:rPr>
      <w:sz w:val="32"/>
      <w:szCs w:val="32"/>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67" w:firstLine="640"/>
    </w:pPr>
  </w:style>
  <w:style w:type="paragraph" w:customStyle="1" w:styleId="13">
    <w:name w:val="Table Paragraph"/>
    <w:basedOn w:val="1"/>
    <w:qFormat/>
    <w:uiPriority w:val="1"/>
  </w:style>
  <w:style w:type="character" w:customStyle="1" w:styleId="14">
    <w:name w:val="页眉 Char"/>
    <w:basedOn w:val="9"/>
    <w:link w:val="7"/>
    <w:qFormat/>
    <w:uiPriority w:val="0"/>
    <w:rPr>
      <w:rFonts w:ascii="PMingLiU" w:hAnsi="PMingLiU" w:eastAsia="PMingLiU" w:cs="PMingLiU"/>
      <w:sz w:val="18"/>
      <w:szCs w:val="18"/>
      <w:lang w:val="zh-CN" w:bidi="zh-CN"/>
    </w:rPr>
  </w:style>
  <w:style w:type="character" w:customStyle="1" w:styleId="15">
    <w:name w:val="页脚 Char"/>
    <w:basedOn w:val="9"/>
    <w:link w:val="6"/>
    <w:qFormat/>
    <w:uiPriority w:val="0"/>
    <w:rPr>
      <w:rFonts w:ascii="PMingLiU" w:hAnsi="PMingLiU" w:eastAsia="PMingLiU" w:cs="PMingLiU"/>
      <w:sz w:val="18"/>
      <w:szCs w:val="18"/>
      <w:lang w:val="zh-CN" w:bidi="zh-CN"/>
    </w:rPr>
  </w:style>
  <w:style w:type="character" w:customStyle="1" w:styleId="16">
    <w:name w:val="批注框文本 Char"/>
    <w:basedOn w:val="9"/>
    <w:link w:val="5"/>
    <w:qFormat/>
    <w:uiPriority w:val="0"/>
    <w:rPr>
      <w:rFonts w:ascii="PMingLiU" w:hAnsi="PMingLiU" w:eastAsia="PMingLiU" w:cs="PMingLiU"/>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1691</Words>
  <Characters>9641</Characters>
  <Lines>80</Lines>
  <Paragraphs>22</Paragraphs>
  <TotalTime>26</TotalTime>
  <ScaleCrop>false</ScaleCrop>
  <LinksUpToDate>false</LinksUpToDate>
  <CharactersWithSpaces>11310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2019-12-18T07:14:00Z</dcterms:created>
  <dc:creator>Administrator</dc:creator>
  <cp:lastModifiedBy>0825</cp:lastModifiedBy>
  <cp:lastPrinted>2020-02-27T04:06:00Z</cp:lastPrinted>
  <dcterms:modified xsi:type="dcterms:W3CDTF">2020-05-08T07:47:20Z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